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ind w:firstLine="7350" w:firstLineChars="3500"/>
        <w:rPr>
          <w:rFonts w:hint="default"/>
          <w:bCs/>
          <w:szCs w:val="21"/>
          <w:u w:val="single"/>
          <w:lang w:val="en-US" w:eastAsia="zh-CN"/>
        </w:rPr>
      </w:pPr>
      <w:r>
        <w:rPr>
          <w:bCs/>
          <w:szCs w:val="21"/>
        </w:rPr>
        <w:t>合同</w:t>
      </w:r>
      <w:r>
        <w:rPr>
          <w:rFonts w:hint="eastAsia"/>
          <w:bCs/>
          <w:szCs w:val="21"/>
        </w:rPr>
        <w:t>编号</w:t>
      </w:r>
      <w:r>
        <w:rPr>
          <w:bCs/>
          <w:szCs w:val="21"/>
        </w:rPr>
        <w:t>:</w:t>
      </w:r>
      <w:r>
        <w:rPr>
          <w:rFonts w:hint="eastAsia"/>
          <w:bCs/>
          <w:szCs w:val="21"/>
          <w:u w:val="single"/>
          <w:lang w:val="en-US" w:eastAsia="zh-CN"/>
        </w:rPr>
        <w:t xml:space="preserve">               </w:t>
      </w:r>
    </w:p>
    <w:p>
      <w:pPr>
        <w:spacing w:beforeLines="100"/>
        <w:ind w:left="3045" w:leftChars="1450" w:firstLine="4691" w:firstLineChars="2234"/>
        <w:rPr>
          <w:rFonts w:hint="eastAsia"/>
          <w:bCs/>
          <w:szCs w:val="21"/>
          <w:u w:val="single"/>
          <w:lang w:val="en-US" w:eastAsia="zh-CN"/>
        </w:rPr>
      </w:pPr>
    </w:p>
    <w:p>
      <w:pPr>
        <w:spacing w:afterLines="50"/>
        <w:ind w:firstLine="1044" w:firstLineChars="200"/>
        <w:jc w:val="center"/>
        <w:rPr>
          <w:rFonts w:ascii="微软雅黑" w:hAnsi="微软雅黑" w:eastAsia="微软雅黑" w:cs="微软雅黑"/>
          <w:color w:val="11368B"/>
          <w:sz w:val="16"/>
          <w:szCs w:val="20"/>
        </w:rPr>
      </w:pPr>
      <w:r>
        <w:rPr>
          <w:rFonts w:hint="eastAsia"/>
          <w:b/>
          <w:sz w:val="52"/>
          <w:szCs w:val="52"/>
        </w:rPr>
        <w:t>认证服务合同书（管理体系）</w:t>
      </w:r>
    </w:p>
    <w:p>
      <w:pPr>
        <w:spacing w:afterLines="50"/>
        <w:ind w:firstLine="320" w:firstLineChars="200"/>
        <w:jc w:val="center"/>
        <w:rPr>
          <w:rFonts w:ascii="微软雅黑" w:hAnsi="微软雅黑" w:eastAsia="微软雅黑" w:cs="微软雅黑"/>
          <w:color w:val="11368B"/>
          <w:sz w:val="16"/>
          <w:szCs w:val="20"/>
        </w:rPr>
      </w:pPr>
      <w:r>
        <w:rPr>
          <w:rFonts w:hint="eastAsia" w:ascii="微软雅黑" w:hAnsi="微软雅黑" w:eastAsia="微软雅黑" w:cs="微软雅黑"/>
          <w:color w:val="11368B"/>
          <w:sz w:val="16"/>
          <w:szCs w:val="20"/>
        </w:rPr>
        <w:drawing>
          <wp:anchor distT="0" distB="0" distL="114300" distR="114300" simplePos="0" relativeHeight="251664384" behindDoc="0" locked="0" layoutInCell="1" allowOverlap="1">
            <wp:simplePos x="0" y="0"/>
            <wp:positionH relativeFrom="column">
              <wp:posOffset>1416050</wp:posOffset>
            </wp:positionH>
            <wp:positionV relativeFrom="paragraph">
              <wp:posOffset>71755</wp:posOffset>
            </wp:positionV>
            <wp:extent cx="3384550" cy="3013075"/>
            <wp:effectExtent l="0" t="0" r="0" b="15875"/>
            <wp:wrapSquare wrapText="bothSides"/>
            <wp:docPr id="1" name="图片 1" descr="D:\中正信合管理文件\公司logo\定版注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中正信合管理文件\公司logo\定版注册.png"/>
                    <pic:cNvPicPr>
                      <a:picLocks noChangeAspect="1" noChangeArrowheads="1"/>
                    </pic:cNvPicPr>
                  </pic:nvPicPr>
                  <pic:blipFill>
                    <a:blip r:embed="rId10" cstate="print">
                      <a:duotone>
                        <a:schemeClr val="accent1">
                          <a:shade val="45000"/>
                          <a:satMod val="135000"/>
                        </a:schemeClr>
                        <a:prstClr val="white"/>
                      </a:duotone>
                    </a:blip>
                    <a:srcRect l="17586" t="11194" r="18335" b="24484"/>
                    <a:stretch>
                      <a:fillRect/>
                    </a:stretch>
                  </pic:blipFill>
                  <pic:spPr>
                    <a:xfrm>
                      <a:off x="0" y="0"/>
                      <a:ext cx="3384550" cy="3013075"/>
                    </a:xfrm>
                    <a:prstGeom prst="rect">
                      <a:avLst/>
                    </a:prstGeom>
                    <a:noFill/>
                    <a:ln w="9525">
                      <a:noFill/>
                      <a:miter lim="800000"/>
                      <a:headEnd/>
                      <a:tailEnd/>
                    </a:ln>
                    <a:effectLst>
                      <a:outerShdw blurRad="50800" dist="50800" dir="5400000" algn="ctr" rotWithShape="0">
                        <a:schemeClr val="bg2"/>
                      </a:outerShdw>
                    </a:effectLst>
                  </pic:spPr>
                </pic:pic>
              </a:graphicData>
            </a:graphic>
          </wp:anchor>
        </w:drawing>
      </w:r>
    </w:p>
    <w:p>
      <w:pPr>
        <w:spacing w:afterLines="50"/>
        <w:ind w:firstLine="320" w:firstLineChars="200"/>
        <w:jc w:val="left"/>
        <w:rPr>
          <w:rFonts w:hint="eastAsia" w:ascii="微软雅黑" w:hAnsi="微软雅黑" w:eastAsia="微软雅黑" w:cs="微软雅黑"/>
          <w:color w:val="11368B"/>
          <w:sz w:val="16"/>
          <w:szCs w:val="20"/>
          <w:lang w:eastAsia="zh-CN"/>
        </w:rPr>
      </w:pPr>
    </w:p>
    <w:p>
      <w:pPr>
        <w:spacing w:afterLines="50"/>
        <w:ind w:firstLine="320" w:firstLineChars="200"/>
        <w:jc w:val="left"/>
        <w:rPr>
          <w:rFonts w:hint="eastAsia" w:ascii="微软雅黑" w:hAnsi="微软雅黑" w:eastAsia="微软雅黑" w:cs="微软雅黑"/>
          <w:color w:val="11368B"/>
          <w:sz w:val="16"/>
          <w:szCs w:val="20"/>
          <w:lang w:eastAsia="zh-CN"/>
        </w:rPr>
      </w:pPr>
    </w:p>
    <w:tbl>
      <w:tblPr>
        <w:tblStyle w:val="7"/>
        <w:tblW w:w="8020" w:type="dxa"/>
        <w:tblInd w:w="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5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77" w:type="dxa"/>
            <w:vAlign w:val="center"/>
          </w:tcPr>
          <w:p>
            <w:pPr>
              <w:spacing w:line="360" w:lineRule="auto"/>
              <w:ind w:firstLine="235" w:firstLineChars="98"/>
              <w:rPr>
                <w:rFonts w:ascii="华文中宋" w:hAnsi="华文中宋" w:eastAsia="华文中宋"/>
                <w:b/>
                <w:sz w:val="24"/>
              </w:rPr>
            </w:pPr>
            <w:r>
              <w:rPr>
                <w:rFonts w:hint="eastAsia" w:ascii="华文中宋" w:hAnsi="华文中宋" w:eastAsia="华文中宋"/>
                <w:b/>
                <w:sz w:val="24"/>
              </w:rPr>
              <w:t>认证类型</w:t>
            </w:r>
          </w:p>
        </w:tc>
        <w:tc>
          <w:tcPr>
            <w:tcW w:w="5943" w:type="dxa"/>
            <w:vAlign w:val="center"/>
          </w:tcPr>
          <w:p>
            <w:pPr>
              <w:ind w:firstLine="601" w:firstLineChars="250"/>
              <w:rPr>
                <w:rFonts w:ascii="华文中宋" w:hAnsi="华文中宋" w:eastAsia="华文中宋"/>
                <w:b/>
                <w:sz w:val="24"/>
              </w:rPr>
            </w:pPr>
            <w:r>
              <w:rPr>
                <w:rFonts w:hint="eastAsia" w:ascii="华文中宋" w:hAnsi="华文中宋" w:eastAsia="华文中宋"/>
                <w:b/>
                <w:sz w:val="24"/>
              </w:rPr>
              <w:t>认 证 管 理 体 系 类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77" w:type="dxa"/>
          </w:tcPr>
          <w:p>
            <w:pPr>
              <w:spacing w:before="240" w:line="360" w:lineRule="auto"/>
              <w:rPr>
                <w:rFonts w:ascii="黑体" w:hAnsi="Arial" w:eastAsia="黑体"/>
                <w:szCs w:val="21"/>
              </w:rPr>
            </w:pPr>
            <w:r>
              <w:rPr>
                <w:rFonts w:hint="eastAsia" w:ascii="华文中宋" w:hAnsi="华文中宋" w:eastAsia="华文中宋"/>
                <w:bCs/>
                <w:szCs w:val="21"/>
              </w:rPr>
              <w:t>□ 初次认证</w:t>
            </w:r>
          </w:p>
        </w:tc>
        <w:tc>
          <w:tcPr>
            <w:tcW w:w="5943" w:type="dxa"/>
          </w:tcPr>
          <w:p>
            <w:pPr>
              <w:spacing w:line="360" w:lineRule="auto"/>
              <w:rPr>
                <w:rFonts w:hint="eastAsia" w:ascii="Arial" w:hAnsi="Arial" w:cs="Arial"/>
                <w:bCs/>
                <w:spacing w:val="-12"/>
                <w:szCs w:val="21"/>
              </w:rPr>
            </w:pPr>
            <w:r>
              <w:rPr>
                <w:rFonts w:hint="eastAsia" w:ascii="华文中宋" w:hAnsi="华文中宋" w:eastAsia="华文中宋"/>
                <w:bCs/>
                <w:szCs w:val="21"/>
              </w:rPr>
              <w:t>□</w:t>
            </w:r>
            <w:r>
              <w:rPr>
                <w:rFonts w:ascii="Arial" w:hAnsi="Arial" w:cs="Arial"/>
                <w:bCs/>
                <w:spacing w:val="-12"/>
                <w:szCs w:val="21"/>
              </w:rPr>
              <w:t xml:space="preserve">QMS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EMS</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OHS</w:t>
            </w:r>
            <w:r>
              <w:rPr>
                <w:rFonts w:hint="eastAsia" w:ascii="Arial" w:hAnsi="Arial" w:cs="Arial"/>
                <w:bCs/>
                <w:spacing w:val="-12"/>
                <w:szCs w:val="21"/>
              </w:rPr>
              <w:t xml:space="preserve">MS   </w:t>
            </w:r>
            <w:r>
              <w:rPr>
                <w:rFonts w:hint="eastAsia" w:ascii="华文中宋" w:hAnsi="华文中宋" w:eastAsia="华文中宋"/>
                <w:bCs/>
                <w:szCs w:val="21"/>
              </w:rPr>
              <w:t>□</w:t>
            </w:r>
            <w:r>
              <w:rPr>
                <w:rFonts w:ascii="Arial" w:hAnsi="Arial" w:cs="Arial"/>
                <w:bCs/>
                <w:spacing w:val="-12"/>
                <w:szCs w:val="21"/>
              </w:rPr>
              <w:t>HACCP</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 xml:space="preserve">FSMS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EnMS</w:t>
            </w:r>
          </w:p>
          <w:p>
            <w:pPr>
              <w:spacing w:line="360" w:lineRule="auto"/>
              <w:rPr>
                <w:rFonts w:ascii="Arial" w:hAnsi="Arial" w:eastAsia="华文中宋" w:cs="Arial"/>
                <w:szCs w:val="21"/>
              </w:rPr>
            </w:pPr>
            <w:r>
              <w:rPr>
                <w:rFonts w:hint="eastAsia" w:ascii="华文中宋" w:hAnsi="华文中宋" w:eastAsia="华文中宋"/>
                <w:bCs/>
                <w:szCs w:val="21"/>
              </w:rPr>
              <w:t>□</w:t>
            </w:r>
            <w:r>
              <w:rPr>
                <w:rFonts w:ascii="Arial" w:hAnsi="Arial" w:cs="Arial"/>
                <w:bCs/>
                <w:spacing w:val="-4"/>
                <w:szCs w:val="21"/>
              </w:rPr>
              <w:t>HSE</w:t>
            </w:r>
            <w:r>
              <w:rPr>
                <w:rFonts w:hint="eastAsia" w:ascii="Arial" w:hAnsi="Arial" w:cs="Arial"/>
                <w:bCs/>
                <w:spacing w:val="-4"/>
                <w:szCs w:val="21"/>
              </w:rPr>
              <w:t xml:space="preserve">  </w:t>
            </w:r>
            <w:r>
              <w:rPr>
                <w:rFonts w:hint="eastAsia" w:ascii="华文中宋" w:hAnsi="华文中宋" w:eastAsia="华文中宋"/>
                <w:bCs/>
                <w:szCs w:val="21"/>
              </w:rPr>
              <w:sym w:font="Wingdings 2" w:char="00A3"/>
            </w:r>
            <w:r>
              <w:rPr>
                <w:rFonts w:hint="eastAsia" w:ascii="华文中宋" w:hAnsi="华文中宋" w:eastAsia="华文中宋"/>
                <w:bCs/>
                <w:szCs w:val="21"/>
              </w:rPr>
              <w:t xml:space="preserve">SC  □SCSMS  □GHG  □EIMS  </w:t>
            </w:r>
            <w:r>
              <w:rPr>
                <w:rFonts w:hint="eastAsia" w:ascii="华文中宋" w:hAnsi="华文中宋" w:eastAsia="华文中宋"/>
                <w:bCs/>
                <w:szCs w:val="21"/>
                <w:highlight w:val="none"/>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77" w:type="dxa"/>
          </w:tcPr>
          <w:p>
            <w:pPr>
              <w:tabs>
                <w:tab w:val="left" w:pos="1470"/>
                <w:tab w:val="left" w:pos="1575"/>
              </w:tabs>
              <w:spacing w:line="360" w:lineRule="auto"/>
              <w:rPr>
                <w:rFonts w:ascii="华文中宋" w:hAnsi="华文中宋" w:eastAsia="华文中宋"/>
                <w:bCs/>
                <w:spacing w:val="-12"/>
                <w:szCs w:val="21"/>
              </w:rPr>
            </w:pPr>
            <w:r>
              <w:rPr>
                <w:rFonts w:hint="eastAsia" w:ascii="华文中宋" w:hAnsi="华文中宋" w:eastAsia="华文中宋"/>
                <w:bCs/>
                <w:spacing w:val="-12"/>
                <w:szCs w:val="21"/>
              </w:rPr>
              <w:t>□ 再认证第次</w:t>
            </w:r>
          </w:p>
          <w:p>
            <w:pPr>
              <w:spacing w:line="360" w:lineRule="auto"/>
              <w:rPr>
                <w:rFonts w:ascii="黑体" w:hAnsi="Arial" w:eastAsia="黑体"/>
                <w:szCs w:val="21"/>
              </w:rPr>
            </w:pPr>
          </w:p>
        </w:tc>
        <w:tc>
          <w:tcPr>
            <w:tcW w:w="5943" w:type="dxa"/>
          </w:tcPr>
          <w:p>
            <w:pPr>
              <w:spacing w:line="360" w:lineRule="auto"/>
              <w:rPr>
                <w:rFonts w:hint="eastAsia" w:ascii="Arial" w:hAnsi="Arial" w:cs="Arial"/>
                <w:bCs/>
                <w:spacing w:val="-12"/>
                <w:szCs w:val="21"/>
              </w:rPr>
            </w:pPr>
            <w:r>
              <w:rPr>
                <w:rFonts w:hint="eastAsia" w:ascii="华文中宋" w:hAnsi="华文中宋" w:eastAsia="华文中宋"/>
                <w:bCs/>
                <w:szCs w:val="21"/>
              </w:rPr>
              <w:t>□</w:t>
            </w:r>
            <w:r>
              <w:rPr>
                <w:rFonts w:ascii="Arial" w:hAnsi="Arial" w:cs="Arial"/>
                <w:bCs/>
                <w:spacing w:val="-12"/>
                <w:szCs w:val="21"/>
              </w:rPr>
              <w:t xml:space="preserve">QMS </w:t>
            </w:r>
            <w:r>
              <w:rPr>
                <w:rFonts w:hint="eastAsia" w:ascii="华文中宋" w:hAnsi="华文中宋" w:eastAsia="华文中宋"/>
                <w:bCs/>
                <w:szCs w:val="21"/>
              </w:rPr>
              <w:t>□</w:t>
            </w:r>
            <w:r>
              <w:rPr>
                <w:rFonts w:ascii="Arial" w:hAnsi="Arial" w:cs="Arial"/>
                <w:bCs/>
                <w:spacing w:val="-12"/>
                <w:szCs w:val="21"/>
              </w:rPr>
              <w:t>EMS</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OHS</w:t>
            </w:r>
            <w:r>
              <w:rPr>
                <w:rFonts w:hint="eastAsia" w:ascii="Arial" w:hAnsi="Arial" w:cs="Arial"/>
                <w:bCs/>
                <w:spacing w:val="-12"/>
                <w:szCs w:val="21"/>
              </w:rPr>
              <w:t xml:space="preserve">MS </w:t>
            </w:r>
            <w:r>
              <w:rPr>
                <w:rFonts w:hint="eastAsia" w:ascii="华文中宋" w:hAnsi="华文中宋" w:eastAsia="华文中宋"/>
                <w:bCs/>
                <w:szCs w:val="21"/>
              </w:rPr>
              <w:t>□</w:t>
            </w:r>
            <w:r>
              <w:rPr>
                <w:rFonts w:ascii="Arial" w:hAnsi="Arial" w:cs="Arial"/>
                <w:bCs/>
                <w:spacing w:val="-12"/>
                <w:szCs w:val="21"/>
              </w:rPr>
              <w:t>HACCP</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 xml:space="preserve">FSMS </w:t>
            </w:r>
            <w:r>
              <w:rPr>
                <w:rFonts w:hint="eastAsia" w:ascii="Arial" w:hAnsi="Arial" w:cs="Arial"/>
                <w:bCs/>
                <w:spacing w:val="-12"/>
                <w:szCs w:val="21"/>
              </w:rPr>
              <w:t xml:space="preserve">  </w:t>
            </w:r>
            <w:r>
              <w:rPr>
                <w:rFonts w:hint="eastAsia" w:ascii="华文中宋" w:hAnsi="华文中宋" w:eastAsia="华文中宋"/>
                <w:bCs/>
                <w:szCs w:val="21"/>
              </w:rPr>
              <w:t>□</w:t>
            </w:r>
            <w:r>
              <w:rPr>
                <w:rFonts w:ascii="Arial" w:hAnsi="Arial" w:cs="Arial"/>
                <w:bCs/>
                <w:spacing w:val="-12"/>
                <w:szCs w:val="21"/>
              </w:rPr>
              <w:t>EnMS</w:t>
            </w:r>
          </w:p>
          <w:p>
            <w:pPr>
              <w:spacing w:line="360" w:lineRule="auto"/>
              <w:rPr>
                <w:rFonts w:ascii="Arial" w:hAnsi="Arial" w:eastAsia="华文中宋" w:cs="Arial"/>
                <w:szCs w:val="21"/>
              </w:rPr>
            </w:pPr>
            <w:r>
              <w:rPr>
                <w:rFonts w:hint="eastAsia" w:ascii="华文中宋" w:hAnsi="华文中宋" w:eastAsia="华文中宋"/>
                <w:bCs/>
                <w:szCs w:val="21"/>
              </w:rPr>
              <w:t>□</w:t>
            </w:r>
            <w:r>
              <w:rPr>
                <w:rFonts w:ascii="Arial" w:hAnsi="Arial" w:cs="Arial"/>
                <w:bCs/>
                <w:spacing w:val="-4"/>
                <w:szCs w:val="21"/>
              </w:rPr>
              <w:t>HSE</w:t>
            </w:r>
            <w:r>
              <w:rPr>
                <w:rFonts w:hint="eastAsia" w:ascii="Arial" w:hAnsi="Arial" w:cs="Arial"/>
                <w:bCs/>
                <w:spacing w:val="-4"/>
                <w:szCs w:val="21"/>
              </w:rPr>
              <w:t xml:space="preserve"> </w:t>
            </w:r>
            <w:r>
              <w:rPr>
                <w:rFonts w:hint="eastAsia" w:ascii="华文中宋" w:hAnsi="华文中宋" w:eastAsia="华文中宋"/>
                <w:bCs/>
                <w:szCs w:val="21"/>
              </w:rPr>
              <w:sym w:font="Wingdings 2" w:char="00A3"/>
            </w:r>
            <w:r>
              <w:rPr>
                <w:rFonts w:hint="eastAsia" w:ascii="华文中宋" w:hAnsi="华文中宋" w:eastAsia="华文中宋"/>
                <w:bCs/>
                <w:szCs w:val="21"/>
              </w:rPr>
              <w:t xml:space="preserve">SC□  SCSMS  □GHG  □EIMS </w:t>
            </w:r>
            <w:r>
              <w:rPr>
                <w:rFonts w:hint="eastAsia" w:ascii="华文中宋" w:hAnsi="华文中宋" w:eastAsia="华文中宋"/>
                <w:bCs/>
                <w:szCs w:val="21"/>
                <w:highlight w:val="none"/>
              </w:rPr>
              <w:t xml:space="preserve"> □CMS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77" w:type="dxa"/>
          </w:tcPr>
          <w:p>
            <w:pPr>
              <w:spacing w:line="360" w:lineRule="auto"/>
              <w:rPr>
                <w:rFonts w:ascii="黑体" w:hAnsi="Arial" w:eastAsia="黑体"/>
                <w:szCs w:val="21"/>
              </w:rPr>
            </w:pPr>
            <w:r>
              <w:rPr>
                <w:rFonts w:hint="eastAsia" w:ascii="华文中宋" w:hAnsi="华文中宋" w:eastAsia="华文中宋"/>
                <w:bCs/>
                <w:szCs w:val="21"/>
              </w:rPr>
              <w:t>□ 转换机构</w:t>
            </w:r>
          </w:p>
        </w:tc>
        <w:tc>
          <w:tcPr>
            <w:tcW w:w="5943" w:type="dxa"/>
          </w:tcPr>
          <w:p>
            <w:pPr>
              <w:spacing w:line="360" w:lineRule="auto"/>
              <w:rPr>
                <w:rFonts w:ascii="Arial" w:hAnsi="Arial" w:eastAsia="黑体" w:cs="Arial"/>
                <w:szCs w:val="21"/>
              </w:rPr>
            </w:pPr>
            <w:r>
              <w:rPr>
                <w:rFonts w:hint="eastAsia" w:ascii="华文中宋" w:hAnsi="华文中宋" w:eastAsia="华文中宋"/>
                <w:bCs/>
                <w:szCs w:val="21"/>
              </w:rPr>
              <w:t xml:space="preserve">□ </w:t>
            </w:r>
            <w:r>
              <w:rPr>
                <w:rFonts w:ascii="Arial" w:hAnsi="宋体" w:cs="Arial"/>
                <w:bCs/>
                <w:spacing w:val="-4"/>
                <w:szCs w:val="21"/>
              </w:rPr>
              <w:t>结合再认证</w:t>
            </w:r>
            <w:r>
              <w:rPr>
                <w:rFonts w:hint="eastAsia" w:ascii="Arial" w:hAnsi="宋体" w:cs="Arial"/>
                <w:bCs/>
                <w:spacing w:val="-4"/>
                <w:szCs w:val="21"/>
              </w:rPr>
              <w:t xml:space="preserve">  </w:t>
            </w:r>
            <w:r>
              <w:rPr>
                <w:rFonts w:hint="eastAsia" w:ascii="华文中宋" w:hAnsi="华文中宋" w:eastAsia="华文中宋"/>
                <w:bCs/>
                <w:szCs w:val="21"/>
              </w:rPr>
              <w:t>□</w:t>
            </w:r>
            <w:r>
              <w:rPr>
                <w:rFonts w:ascii="Arial" w:hAnsi="宋体" w:cs="Arial"/>
                <w:bCs/>
                <w:spacing w:val="-4"/>
                <w:szCs w:val="21"/>
              </w:rPr>
              <w:t>结合</w:t>
            </w:r>
            <w:r>
              <w:rPr>
                <w:rFonts w:hint="eastAsia" w:ascii="Arial" w:hAnsi="宋体" w:cs="Arial"/>
                <w:bCs/>
                <w:spacing w:val="-4"/>
                <w:szCs w:val="21"/>
              </w:rPr>
              <w:t xml:space="preserve">第 </w:t>
            </w:r>
            <w:r>
              <w:rPr>
                <w:rFonts w:ascii="Arial" w:hAnsi="宋体" w:cs="Arial"/>
                <w:bCs/>
                <w:szCs w:val="21"/>
              </w:rPr>
              <w:t>次监督</w:t>
            </w:r>
            <w:r>
              <w:rPr>
                <w:rFonts w:hint="eastAsia" w:ascii="Arial" w:hAnsi="宋体" w:cs="Arial"/>
                <w:bCs/>
                <w:szCs w:val="21"/>
              </w:rPr>
              <w:t xml:space="preserve">  </w:t>
            </w:r>
            <w:r>
              <w:rPr>
                <w:rFonts w:hint="eastAsia" w:ascii="华文中宋" w:hAnsi="华文中宋" w:eastAsia="华文中宋"/>
                <w:bCs/>
                <w:szCs w:val="21"/>
              </w:rPr>
              <w:t>□</w:t>
            </w:r>
            <w:r>
              <w:rPr>
                <w:rFonts w:ascii="Arial" w:hAnsi="宋体" w:cs="Arial"/>
                <w:bCs/>
                <w:spacing w:val="-4"/>
                <w:szCs w:val="21"/>
              </w:rPr>
              <w:t>其它：</w:t>
            </w:r>
          </w:p>
        </w:tc>
      </w:tr>
    </w:tbl>
    <w:p>
      <w:pPr>
        <w:spacing w:afterLines="50"/>
        <w:ind w:firstLine="320" w:firstLineChars="200"/>
        <w:jc w:val="center"/>
        <w:rPr>
          <w:rFonts w:ascii="微软雅黑" w:hAnsi="微软雅黑" w:eastAsia="微软雅黑" w:cs="微软雅黑"/>
          <w:color w:val="11368B"/>
          <w:sz w:val="16"/>
          <w:szCs w:val="20"/>
        </w:rPr>
      </w:pPr>
    </w:p>
    <w:p>
      <w:pPr>
        <w:spacing w:afterLines="50"/>
        <w:ind w:firstLine="320" w:firstLineChars="200"/>
        <w:jc w:val="center"/>
        <w:rPr>
          <w:rFonts w:ascii="微软雅黑" w:hAnsi="微软雅黑" w:eastAsia="微软雅黑" w:cs="微软雅黑"/>
          <w:color w:val="11368B"/>
          <w:sz w:val="16"/>
          <w:szCs w:val="20"/>
        </w:rPr>
      </w:pPr>
    </w:p>
    <w:p>
      <w:pPr>
        <w:spacing w:afterLines="50"/>
        <w:ind w:firstLine="320" w:firstLineChars="200"/>
        <w:jc w:val="center"/>
        <w:rPr>
          <w:rFonts w:ascii="微软雅黑" w:hAnsi="微软雅黑" w:eastAsia="微软雅黑" w:cs="微软雅黑"/>
          <w:color w:val="11368B"/>
          <w:sz w:val="16"/>
          <w:szCs w:val="20"/>
        </w:rPr>
      </w:pPr>
    </w:p>
    <w:p>
      <w:pPr>
        <w:tabs>
          <w:tab w:val="left" w:pos="1470"/>
        </w:tabs>
        <w:spacing w:line="276" w:lineRule="auto"/>
        <w:ind w:firstLine="2241" w:firstLineChars="800"/>
        <w:rPr>
          <w:rFonts w:ascii="微软雅黑" w:hAnsi="微软雅黑" w:eastAsia="微软雅黑"/>
          <w:b/>
          <w:bCs/>
          <w:sz w:val="28"/>
          <w:u w:val="single"/>
        </w:rPr>
      </w:pPr>
      <w:r>
        <w:rPr>
          <w:rFonts w:hint="eastAsia" w:ascii="微软雅黑" w:hAnsi="微软雅黑" w:eastAsia="微软雅黑"/>
          <w:b/>
          <w:bCs/>
          <w:sz w:val="28"/>
        </w:rPr>
        <w:t>甲方（委托方）:</w:t>
      </w:r>
    </w:p>
    <w:p>
      <w:pPr>
        <w:tabs>
          <w:tab w:val="left" w:pos="1470"/>
        </w:tabs>
        <w:spacing w:line="276" w:lineRule="auto"/>
        <w:ind w:firstLine="2241" w:firstLineChars="800"/>
        <w:rPr>
          <w:rFonts w:ascii="微软雅黑" w:hAnsi="微软雅黑" w:eastAsia="微软雅黑"/>
          <w:sz w:val="28"/>
        </w:rPr>
      </w:pPr>
      <w:r>
        <w:rPr>
          <w:rFonts w:hint="eastAsia" w:ascii="微软雅黑" w:hAnsi="微软雅黑" w:eastAsia="微软雅黑"/>
          <w:b/>
          <w:bCs/>
          <w:sz w:val="28"/>
        </w:rPr>
        <w:t>乙方（认证方）：</w:t>
      </w:r>
      <w:r>
        <w:rPr>
          <w:rFonts w:hint="eastAsia" w:ascii="微软雅黑" w:hAnsi="微软雅黑" w:eastAsia="微软雅黑"/>
          <w:b/>
          <w:sz w:val="32"/>
        </w:rPr>
        <w:t>辽宁中正信合检测认证有限公司</w:t>
      </w:r>
    </w:p>
    <w:p>
      <w:pPr>
        <w:spacing w:afterLines="50"/>
        <w:ind w:firstLine="320" w:firstLineChars="200"/>
        <w:jc w:val="center"/>
        <w:rPr>
          <w:rFonts w:ascii="微软雅黑" w:hAnsi="微软雅黑" w:eastAsia="微软雅黑" w:cs="微软雅黑"/>
          <w:color w:val="11368B"/>
          <w:sz w:val="16"/>
          <w:szCs w:val="20"/>
        </w:rPr>
        <w:sectPr>
          <w:headerReference r:id="rId4" w:type="first"/>
          <w:headerReference r:id="rId3" w:type="default"/>
          <w:footerReference r:id="rId5" w:type="default"/>
          <w:pgSz w:w="11906" w:h="16838"/>
          <w:pgMar w:top="1440" w:right="1080" w:bottom="1440" w:left="1080" w:header="624" w:footer="992" w:gutter="0"/>
          <w:pgNumType w:start="1"/>
          <w:cols w:space="425" w:num="1"/>
          <w:titlePg/>
          <w:docGrid w:type="lines" w:linePitch="312" w:charSpace="0"/>
        </w:sectPr>
      </w:pPr>
    </w:p>
    <w:p>
      <w:pPr>
        <w:spacing w:afterLines="50"/>
        <w:ind w:firstLine="320" w:firstLineChars="200"/>
        <w:jc w:val="center"/>
        <w:rPr>
          <w:rFonts w:ascii="微软雅黑" w:hAnsi="微软雅黑" w:eastAsia="微软雅黑" w:cs="微软雅黑"/>
          <w:color w:val="11368B"/>
          <w:sz w:val="16"/>
          <w:szCs w:val="20"/>
        </w:rPr>
      </w:pPr>
    </w:p>
    <w:p>
      <w:pPr>
        <w:spacing w:afterLines="50"/>
        <w:ind w:firstLine="720" w:firstLineChars="200"/>
        <w:jc w:val="center"/>
        <w:rPr>
          <w:rFonts w:ascii="微软雅黑" w:hAnsi="微软雅黑" w:eastAsia="微软雅黑" w:cs="微软雅黑"/>
          <w:b/>
          <w:color w:val="11368B"/>
          <w:sz w:val="36"/>
          <w:szCs w:val="44"/>
        </w:rPr>
      </w:pPr>
      <w:r>
        <w:rPr>
          <w:rFonts w:hint="eastAsia" w:ascii="微软雅黑" w:hAnsi="微软雅黑" w:eastAsia="微软雅黑" w:cs="微软雅黑"/>
          <w:b/>
          <w:color w:val="11368B"/>
          <w:sz w:val="36"/>
          <w:szCs w:val="44"/>
        </w:rPr>
        <w:t>认 证 服 务 合 同 书（管理体系）</w:t>
      </w:r>
    </w:p>
    <w:p>
      <w:pPr>
        <w:spacing w:line="360" w:lineRule="auto"/>
        <w:rPr>
          <w:bCs/>
          <w:sz w:val="24"/>
          <w:u w:val="single"/>
        </w:rPr>
      </w:pPr>
      <w:r>
        <w:rPr>
          <w:rFonts w:hint="eastAsia"/>
          <w:bCs/>
          <w:sz w:val="24"/>
        </w:rPr>
        <w:t>甲方：</w:t>
      </w:r>
    </w:p>
    <w:p>
      <w:pPr>
        <w:spacing w:line="360" w:lineRule="auto"/>
        <w:rPr>
          <w:bCs/>
          <w:sz w:val="24"/>
        </w:rPr>
      </w:pPr>
      <w:r>
        <w:rPr>
          <w:rFonts w:hint="eastAsia"/>
          <w:bCs/>
          <w:sz w:val="24"/>
        </w:rPr>
        <w:t>乙方：</w:t>
      </w:r>
      <w:r>
        <w:rPr>
          <w:rFonts w:hint="eastAsia"/>
          <w:bCs/>
          <w:sz w:val="24"/>
          <w:u w:val="single"/>
        </w:rPr>
        <w:t xml:space="preserve"> 辽宁中正信合检测认证有限公司 </w:t>
      </w:r>
    </w:p>
    <w:p>
      <w:pPr>
        <w:spacing w:line="360" w:lineRule="auto"/>
        <w:rPr>
          <w:bCs/>
          <w:sz w:val="24"/>
          <w:u w:val="single"/>
        </w:rPr>
      </w:pPr>
      <w:r>
        <w:rPr>
          <w:rFonts w:hint="eastAsia"/>
          <w:bCs/>
          <w:sz w:val="24"/>
        </w:rPr>
        <w:t>（简称“甲方”）和辽宁中正信合检测认证有限公司（简称“乙方”或“NICC”），就以下认证服务达成协议：</w:t>
      </w:r>
    </w:p>
    <w:p>
      <w:pPr>
        <w:ind w:firstLine="1000" w:firstLineChars="500"/>
        <w:rPr>
          <w:bCs/>
          <w:sz w:val="20"/>
          <w:szCs w:val="20"/>
          <w:u w:val="single"/>
        </w:rPr>
      </w:pPr>
    </w:p>
    <w:p>
      <w:pPr>
        <w:numPr>
          <w:ilvl w:val="0"/>
          <w:numId w:val="1"/>
        </w:numPr>
        <w:rPr>
          <w:rFonts w:asciiTheme="minorEastAsia" w:hAnsiTheme="minorEastAsia" w:cstheme="minorEastAsia"/>
          <w:sz w:val="24"/>
        </w:rPr>
      </w:pPr>
      <w:r>
        <w:rPr>
          <w:rFonts w:hint="eastAsia" w:asciiTheme="minorEastAsia" w:hAnsiTheme="minorEastAsia" w:cstheme="minorEastAsia"/>
          <w:sz w:val="24"/>
        </w:rPr>
        <w:t xml:space="preserve">认证服务项目（在□内划√表示适用于该项）   </w:t>
      </w:r>
    </w:p>
    <w:tbl>
      <w:tblPr>
        <w:tblStyle w:val="7"/>
        <w:tblpPr w:leftFromText="180" w:rightFromText="180" w:vertAnchor="text" w:horzAnchor="page" w:tblpX="1196" w:tblpY="70"/>
        <w:tblW w:w="487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010"/>
        <w:gridCol w:w="56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066" w:type="pct"/>
            <w:tcBorders>
              <w:tl2br w:val="nil"/>
              <w:tr2bl w:val="nil"/>
            </w:tcBorders>
            <w:vAlign w:val="center"/>
          </w:tcPr>
          <w:p>
            <w:pPr>
              <w:jc w:val="center"/>
              <w:rPr>
                <w:rFonts w:asciiTheme="minorEastAsia" w:hAnsiTheme="minorEastAsia"/>
                <w:b/>
                <w:szCs w:val="21"/>
              </w:rPr>
            </w:pPr>
            <w:r>
              <w:rPr>
                <w:rFonts w:asciiTheme="minorEastAsia" w:hAnsiTheme="minorEastAsia"/>
                <w:b/>
                <w:szCs w:val="21"/>
              </w:rPr>
              <w:t>认证领域</w:t>
            </w:r>
          </w:p>
        </w:tc>
        <w:tc>
          <w:tcPr>
            <w:tcW w:w="2934" w:type="pct"/>
            <w:tcBorders>
              <w:tl2br w:val="nil"/>
              <w:tr2bl w:val="nil"/>
            </w:tcBorders>
            <w:vAlign w:val="center"/>
          </w:tcPr>
          <w:p>
            <w:pPr>
              <w:jc w:val="center"/>
              <w:rPr>
                <w:rFonts w:asciiTheme="minorEastAsia" w:hAnsiTheme="minorEastAsia"/>
                <w:b/>
                <w:szCs w:val="21"/>
              </w:rPr>
            </w:pPr>
            <w:r>
              <w:rPr>
                <w:rFonts w:asciiTheme="minorEastAsia" w:hAnsiTheme="minorEastAsia"/>
                <w:b/>
                <w:szCs w:val="21"/>
              </w:rPr>
              <w:t>认证依据标准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质量管理体系</w:t>
            </w:r>
          </w:p>
        </w:tc>
        <w:tc>
          <w:tcPr>
            <w:tcW w:w="2934" w:type="pct"/>
            <w:tcBorders>
              <w:tl2br w:val="nil"/>
              <w:tr2bl w:val="nil"/>
            </w:tcBorders>
            <w:vAlign w:val="center"/>
          </w:tcPr>
          <w:p>
            <w:pPr>
              <w:rPr>
                <w:rFonts w:asciiTheme="minorEastAsia" w:hAnsiTheme="minorEastAsia"/>
                <w:szCs w:val="21"/>
              </w:rPr>
            </w:pPr>
            <w:r>
              <w:rPr>
                <w:rFonts w:asciiTheme="minorEastAsia" w:hAnsiTheme="minorEastAsia"/>
                <w:szCs w:val="21"/>
              </w:rPr>
              <w:t>GB/T19001-2016</w:t>
            </w:r>
            <w:r>
              <w:rPr>
                <w:rFonts w:hint="eastAsia" w:asciiTheme="minorEastAsia" w:hAnsiTheme="minorEastAsia"/>
                <w:szCs w:val="21"/>
              </w:rPr>
              <w:t xml:space="preserve"> /</w:t>
            </w:r>
            <w:r>
              <w:rPr>
                <w:rFonts w:asciiTheme="minorEastAsia" w:hAnsiTheme="minorEastAsia"/>
                <w:szCs w:val="21"/>
              </w:rPr>
              <w:t>ISO 9001</w:t>
            </w:r>
            <w:r>
              <w:rPr>
                <w:rFonts w:hint="eastAsia" w:asciiTheme="minorEastAsia" w:hAnsiTheme="minorEastAsia"/>
                <w:szCs w:val="21"/>
              </w:rPr>
              <w:t>:</w:t>
            </w:r>
            <w:r>
              <w:rPr>
                <w:rFonts w:asciiTheme="minorEastAsia" w:hAnsiTheme="minorEastAsia"/>
                <w:szCs w:val="21"/>
              </w:rPr>
              <w:t>2015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环境管理体系</w:t>
            </w:r>
          </w:p>
        </w:tc>
        <w:tc>
          <w:tcPr>
            <w:tcW w:w="2934" w:type="pct"/>
            <w:tcBorders>
              <w:tl2br w:val="nil"/>
              <w:tr2bl w:val="nil"/>
            </w:tcBorders>
            <w:vAlign w:val="center"/>
          </w:tcPr>
          <w:p>
            <w:pPr>
              <w:rPr>
                <w:rFonts w:asciiTheme="minorEastAsia" w:hAnsiTheme="minorEastAsia"/>
                <w:szCs w:val="21"/>
              </w:rPr>
            </w:pPr>
            <w:r>
              <w:rPr>
                <w:rFonts w:asciiTheme="minorEastAsia" w:hAnsiTheme="minorEastAsia"/>
                <w:szCs w:val="21"/>
              </w:rPr>
              <w:t>GB/T</w:t>
            </w:r>
            <w:r>
              <w:rPr>
                <w:rFonts w:hint="eastAsia" w:asciiTheme="minorEastAsia" w:hAnsiTheme="minorEastAsia"/>
                <w:szCs w:val="21"/>
              </w:rPr>
              <w:t>24</w:t>
            </w:r>
            <w:r>
              <w:rPr>
                <w:rFonts w:asciiTheme="minorEastAsia" w:hAnsiTheme="minorEastAsia"/>
                <w:szCs w:val="21"/>
              </w:rPr>
              <w:t>001-2016</w:t>
            </w:r>
            <w:r>
              <w:rPr>
                <w:rFonts w:hint="eastAsia" w:asciiTheme="minorEastAsia" w:hAnsiTheme="minorEastAsia"/>
                <w:szCs w:val="21"/>
              </w:rPr>
              <w:t xml:space="preserve"> /</w:t>
            </w:r>
            <w:r>
              <w:rPr>
                <w:rFonts w:asciiTheme="minorEastAsia" w:hAnsiTheme="minorEastAsia"/>
                <w:szCs w:val="21"/>
              </w:rPr>
              <w:t xml:space="preserve">ISO </w:t>
            </w:r>
            <w:r>
              <w:rPr>
                <w:rFonts w:hint="eastAsia" w:asciiTheme="minorEastAsia" w:hAnsiTheme="minorEastAsia"/>
                <w:szCs w:val="21"/>
              </w:rPr>
              <w:t>14</w:t>
            </w:r>
            <w:r>
              <w:rPr>
                <w:rFonts w:asciiTheme="minorEastAsia" w:hAnsiTheme="minorEastAsia"/>
                <w:szCs w:val="21"/>
              </w:rPr>
              <w:t>001</w:t>
            </w:r>
            <w:r>
              <w:rPr>
                <w:rFonts w:hint="eastAsia" w:asciiTheme="minorEastAsia" w:hAnsiTheme="minorEastAsia"/>
                <w:szCs w:val="21"/>
              </w:rPr>
              <w:t>:</w:t>
            </w:r>
            <w:r>
              <w:rPr>
                <w:rFonts w:asciiTheme="minorEastAsia" w:hAnsiTheme="minorEastAsia"/>
                <w:szCs w:val="21"/>
              </w:rPr>
              <w:t>2015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2066" w:type="pct"/>
            <w:tcBorders>
              <w:tl2br w:val="nil"/>
              <w:tr2bl w:val="nil"/>
            </w:tcBorders>
            <w:vAlign w:val="center"/>
          </w:tcPr>
          <w:p>
            <w:pPr>
              <w:rPr>
                <w:rFonts w:asciiTheme="minorEastAsia" w:hAnsiTheme="minorEastAsia"/>
                <w:szCs w:val="21"/>
              </w:rPr>
            </w:pPr>
            <w:r>
              <w:rPr>
                <w:rFonts w:hint="eastAsia" w:cstheme="minorEastAsia"/>
                <w:sz w:val="24"/>
              </w:rPr>
              <w:sym w:font="Wingdings 2" w:char="00A3"/>
            </w:r>
            <w:r>
              <w:rPr>
                <w:rFonts w:hint="eastAsia" w:cstheme="minorEastAsia"/>
                <w:sz w:val="24"/>
              </w:rPr>
              <w:t xml:space="preserve"> </w:t>
            </w:r>
            <w:r>
              <w:rPr>
                <w:rFonts w:asciiTheme="minorEastAsia" w:hAnsiTheme="minorEastAsia"/>
                <w:szCs w:val="21"/>
              </w:rPr>
              <w:t>职业健康安全管理体系</w:t>
            </w:r>
          </w:p>
        </w:tc>
        <w:tc>
          <w:tcPr>
            <w:tcW w:w="2934" w:type="pct"/>
            <w:tcBorders>
              <w:tl2br w:val="nil"/>
              <w:tr2bl w:val="nil"/>
            </w:tcBorders>
            <w:vAlign w:val="center"/>
          </w:tcPr>
          <w:p>
            <w:pPr>
              <w:rPr>
                <w:rFonts w:asciiTheme="minorEastAsia" w:hAnsiTheme="minorEastAsia"/>
                <w:szCs w:val="21"/>
              </w:rPr>
            </w:pPr>
            <w:r>
              <w:rPr>
                <w:rFonts w:asciiTheme="minorEastAsia" w:hAnsiTheme="minorEastAsia"/>
                <w:szCs w:val="21"/>
              </w:rPr>
              <w:t>GB/T</w:t>
            </w:r>
            <w:r>
              <w:rPr>
                <w:rFonts w:hint="eastAsia" w:asciiTheme="minorEastAsia" w:hAnsiTheme="minorEastAsia"/>
                <w:szCs w:val="21"/>
              </w:rPr>
              <w:t>45</w:t>
            </w:r>
            <w:r>
              <w:rPr>
                <w:rFonts w:asciiTheme="minorEastAsia" w:hAnsiTheme="minorEastAsia"/>
                <w:szCs w:val="21"/>
              </w:rPr>
              <w:t>001-20</w:t>
            </w:r>
            <w:r>
              <w:rPr>
                <w:rFonts w:hint="eastAsia" w:asciiTheme="minorEastAsia" w:hAnsiTheme="minorEastAsia"/>
                <w:szCs w:val="21"/>
              </w:rPr>
              <w:t>20 /</w:t>
            </w:r>
            <w:r>
              <w:rPr>
                <w:rFonts w:asciiTheme="minorEastAsia" w:hAnsiTheme="minorEastAsia"/>
                <w:szCs w:val="21"/>
              </w:rPr>
              <w:t xml:space="preserve">ISO </w:t>
            </w:r>
            <w:r>
              <w:rPr>
                <w:rFonts w:hint="eastAsia" w:asciiTheme="minorEastAsia" w:hAnsiTheme="minorEastAsia"/>
                <w:szCs w:val="21"/>
              </w:rPr>
              <w:t>45</w:t>
            </w:r>
            <w:r>
              <w:rPr>
                <w:rFonts w:asciiTheme="minorEastAsia" w:hAnsiTheme="minorEastAsia"/>
                <w:szCs w:val="21"/>
              </w:rPr>
              <w:t>001</w:t>
            </w:r>
            <w:r>
              <w:rPr>
                <w:rFonts w:hint="eastAsia" w:asciiTheme="minorEastAsia" w:hAnsiTheme="minorEastAsia"/>
                <w:szCs w:val="21"/>
              </w:rPr>
              <w:t>:</w:t>
            </w:r>
            <w:r>
              <w:rPr>
                <w:rFonts w:asciiTheme="minorEastAsia" w:hAnsiTheme="minorEastAsia"/>
                <w:szCs w:val="21"/>
              </w:rPr>
              <w:t>201</w:t>
            </w:r>
            <w:r>
              <w:rPr>
                <w:rFonts w:hint="eastAsia" w:asciiTheme="minorEastAsia" w:hAnsiTheme="minorEastAsia"/>
                <w:szCs w:val="21"/>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pPr>
              <w:rPr>
                <w:rFonts w:asciiTheme="minorEastAsia" w:hAnsiTheme="minorEastAsia" w:cstheme="minorEastAsia"/>
                <w:sz w:val="24"/>
              </w:rPr>
            </w:pPr>
            <w:r>
              <w:rPr>
                <w:rFonts w:hint="eastAsia" w:asciiTheme="minorEastAsia" w:hAnsiTheme="minorEastAsia" w:cstheme="minorEastAsia"/>
                <w:sz w:val="24"/>
              </w:rPr>
              <w:sym w:font="Wingdings 2" w:char="00A3"/>
            </w:r>
            <w:r>
              <w:rPr>
                <w:rFonts w:hint="eastAsia" w:asciiTheme="minorEastAsia" w:hAnsiTheme="minorEastAsia" w:cstheme="minorEastAsia"/>
                <w:sz w:val="24"/>
              </w:rPr>
              <w:t xml:space="preserve"> HSE</w:t>
            </w:r>
          </w:p>
        </w:tc>
        <w:tc>
          <w:tcPr>
            <w:tcW w:w="5695"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SY 1002.1-2013; Q/SHS000.1-2001</w:t>
            </w:r>
          </w:p>
          <w:p>
            <w:pPr>
              <w:rPr>
                <w:rFonts w:asciiTheme="minorEastAsia" w:hAnsiTheme="minorEastAsia" w:cstheme="minorEastAsia"/>
                <w:sz w:val="24"/>
              </w:rPr>
            </w:pPr>
            <w:r>
              <w:rPr>
                <w:rFonts w:hint="eastAsia" w:asciiTheme="minorEastAsia" w:hAnsiTheme="minorEastAsia"/>
                <w:szCs w:val="21"/>
              </w:rPr>
              <w:sym w:font="Wingdings 2" w:char="00A3"/>
            </w:r>
            <w:r>
              <w:rPr>
                <w:rFonts w:hint="eastAsia" w:asciiTheme="minorEastAsia" w:hAnsiTheme="minorEastAsia"/>
                <w:szCs w:val="21"/>
              </w:rPr>
              <w:t>SY/T 6276-2014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w:t>
            </w:r>
            <w:r>
              <w:rPr>
                <w:rFonts w:hint="eastAsia" w:asciiTheme="minorEastAsia" w:hAnsiTheme="minorEastAsia"/>
                <w:szCs w:val="21"/>
                <w:highlight w:val="none"/>
              </w:rPr>
              <w:t>能力管理和人员发展管理体系</w:t>
            </w:r>
          </w:p>
        </w:tc>
        <w:tc>
          <w:tcPr>
            <w:tcW w:w="5695"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t>GB/T 19025—</w:t>
            </w:r>
            <w:r>
              <w:rPr>
                <w:rFonts w:hint="eastAsia" w:asciiTheme="minorEastAsia" w:hAnsiTheme="minorEastAsia"/>
                <w:szCs w:val="21"/>
                <w:highlight w:val="none"/>
              </w:rPr>
              <w:t>2023 idt ISO 10015:2019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商品售后服务评价体系</w:t>
            </w:r>
          </w:p>
        </w:tc>
        <w:tc>
          <w:tcPr>
            <w:tcW w:w="5695"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t>GB/T 27922-2011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温室气体标准管理体系</w:t>
            </w:r>
          </w:p>
        </w:tc>
        <w:tc>
          <w:tcPr>
            <w:tcW w:w="5695"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ISO14064    </w:t>
            </w:r>
            <w:r>
              <w:rPr>
                <w:rFonts w:hint="eastAsia" w:asciiTheme="minorEastAsia" w:hAnsiTheme="minorEastAsia"/>
                <w:szCs w:val="21"/>
              </w:rPr>
              <w:sym w:font="Wingdings 2" w:char="00A3"/>
            </w:r>
            <w:r>
              <w:rPr>
                <w:rFonts w:asciiTheme="minorEastAsia" w:hAnsiTheme="minorEastAsia"/>
                <w:szCs w:val="21"/>
              </w:rPr>
              <w:t>GB/T32150-2015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pPr>
              <w:rPr>
                <w:rFonts w:hint="eastAsia"/>
                <w:szCs w:val="21"/>
                <w:highlight w:val="yellow"/>
              </w:rPr>
            </w:pPr>
            <w:r>
              <w:rPr>
                <w:rFonts w:hint="eastAsia"/>
                <w:szCs w:val="21"/>
                <w:highlight w:val="none"/>
              </w:rPr>
              <w:sym w:font="Wingdings 2" w:char="00A3"/>
            </w:r>
            <w:r>
              <w:rPr>
                <w:rFonts w:hint="eastAsia"/>
                <w:szCs w:val="21"/>
                <w:highlight w:val="none"/>
              </w:rPr>
              <w:t xml:space="preserve"> 产品碳足迹</w:t>
            </w:r>
          </w:p>
        </w:tc>
        <w:tc>
          <w:tcPr>
            <w:tcW w:w="5695" w:type="dxa"/>
            <w:tcBorders>
              <w:tl2br w:val="nil"/>
              <w:tr2bl w:val="nil"/>
            </w:tcBorders>
            <w:vAlign w:val="center"/>
          </w:tcPr>
          <w:p>
            <w:pPr>
              <w:rPr>
                <w:rFonts w:hint="eastAsia" w:asciiTheme="minorEastAsia" w:hAnsiTheme="minorEastAsia"/>
                <w:szCs w:val="21"/>
                <w:highlight w:val="yellow"/>
              </w:rPr>
            </w:pPr>
            <w:r>
              <w:rPr>
                <w:rFonts w:hint="eastAsia" w:asciiTheme="minorEastAsia" w:hAnsiTheme="minorEastAsia"/>
                <w:szCs w:val="21"/>
                <w:highlight w:val="none"/>
              </w:rPr>
              <w:sym w:font="Wingdings 2" w:char="00A3"/>
            </w:r>
            <w:r>
              <w:rPr>
                <w:rFonts w:hint="eastAsia" w:asciiTheme="minorEastAsia" w:hAnsiTheme="minorEastAsia"/>
                <w:szCs w:val="21"/>
                <w:highlight w:val="none"/>
              </w:rPr>
              <w:t>ISO</w:t>
            </w:r>
            <w:r>
              <w:rPr>
                <w:rFonts w:asciiTheme="minorEastAsia" w:hAnsiTheme="minorEastAsia"/>
                <w:szCs w:val="21"/>
                <w:highlight w:val="none"/>
              </w:rPr>
              <w:t>/</w:t>
            </w:r>
            <w:r>
              <w:rPr>
                <w:rFonts w:hint="eastAsia" w:asciiTheme="minorEastAsia" w:hAnsiTheme="minorEastAsia"/>
                <w:szCs w:val="21"/>
                <w:highlight w:val="none"/>
              </w:rPr>
              <w:t>TS</w:t>
            </w:r>
            <w:r>
              <w:rPr>
                <w:rFonts w:asciiTheme="minorEastAsia" w:hAnsiTheme="minorEastAsia"/>
                <w:szCs w:val="21"/>
                <w:highlight w:val="none"/>
              </w:rPr>
              <w:t xml:space="preserve"> 14067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供应链安全管理体系</w:t>
            </w:r>
          </w:p>
        </w:tc>
        <w:tc>
          <w:tcPr>
            <w:tcW w:w="5695" w:type="dxa"/>
            <w:tcBorders>
              <w:tl2br w:val="nil"/>
              <w:tr2bl w:val="nil"/>
            </w:tcBorders>
            <w:vAlign w:val="center"/>
          </w:tcPr>
          <w:p>
            <w:pPr>
              <w:rPr>
                <w:rFonts w:asciiTheme="minorEastAsia" w:hAnsiTheme="minorEastAsia"/>
                <w:szCs w:val="21"/>
              </w:rPr>
            </w:pPr>
            <w:r>
              <w:rPr>
                <w:rFonts w:asciiTheme="minorEastAsia" w:hAnsiTheme="minorEastAsia"/>
                <w:szCs w:val="21"/>
              </w:rPr>
              <w:t>GB/T 38702-2020</w:t>
            </w:r>
            <w:r>
              <w:rPr>
                <w:rFonts w:hint="eastAsia" w:asciiTheme="minorEastAsia" w:hAnsiTheme="minorEastAsia"/>
                <w:szCs w:val="21"/>
              </w:rPr>
              <w:t>/ISO2</w:t>
            </w:r>
            <w:bookmarkStart w:id="0" w:name="5_审核实施"/>
            <w:bookmarkEnd w:id="0"/>
            <w:r>
              <w:rPr>
                <w:rFonts w:hint="eastAsia" w:asciiTheme="minorEastAsia" w:hAnsiTheme="minorEastAsia"/>
                <w:szCs w:val="21"/>
              </w:rPr>
              <w:t>8000</w:t>
            </w:r>
            <w:bookmarkStart w:id="1" w:name="5.1_审核准则"/>
            <w:bookmarkEnd w:id="1"/>
            <w:r>
              <w:rPr>
                <w:rFonts w:hint="eastAsia" w:asciiTheme="minorEastAsia" w:hAnsiTheme="minorEastAsia"/>
                <w:szCs w:val="21"/>
              </w:rPr>
              <w:t xml:space="preserve">:2007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4" w:hRule="atLeast"/>
        </w:trPr>
        <w:tc>
          <w:tcPr>
            <w:tcW w:w="4010" w:type="dxa"/>
            <w:tcBorders>
              <w:tl2br w:val="nil"/>
              <w:tr2bl w:val="nil"/>
            </w:tcBorders>
            <w:vAlign w:val="center"/>
          </w:tcPr>
          <w:p>
            <w:pPr>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企业诚信管理体系</w:t>
            </w:r>
          </w:p>
        </w:tc>
        <w:tc>
          <w:tcPr>
            <w:tcW w:w="5695" w:type="dxa"/>
            <w:tcBorders>
              <w:tl2br w:val="nil"/>
              <w:tr2bl w:val="nil"/>
            </w:tcBorders>
            <w:vAlign w:val="center"/>
          </w:tcPr>
          <w:p>
            <w:pPr>
              <w:widowControl/>
              <w:jc w:val="left"/>
              <w:rPr>
                <w:rFonts w:asciiTheme="minorEastAsia" w:hAnsiTheme="minorEastAsia"/>
                <w:szCs w:val="21"/>
              </w:rPr>
            </w:pPr>
            <w:r>
              <w:rPr>
                <w:rFonts w:hint="eastAsia" w:asciiTheme="minorEastAsia" w:hAnsiTheme="minorEastAsia"/>
                <w:szCs w:val="21"/>
              </w:rPr>
              <w:t>GB/T 31950-2015</w:t>
            </w:r>
          </w:p>
        </w:tc>
      </w:tr>
    </w:tbl>
    <w:p>
      <w:pPr>
        <w:rPr>
          <w:bCs/>
          <w:sz w:val="24"/>
          <w:u w:val="single"/>
        </w:rPr>
      </w:pPr>
    </w:p>
    <w:p>
      <w:pPr>
        <w:numPr>
          <w:ilvl w:val="0"/>
          <w:numId w:val="1"/>
        </w:numPr>
        <w:spacing w:afterLines="100"/>
        <w:rPr>
          <w:rFonts w:asciiTheme="minorEastAsia" w:hAnsiTheme="minorEastAsia" w:cstheme="minorEastAsia"/>
          <w:sz w:val="24"/>
        </w:rPr>
      </w:pPr>
      <w:r>
        <w:rPr>
          <w:rFonts w:hint="eastAsia" w:asciiTheme="minorEastAsia" w:hAnsiTheme="minorEastAsia" w:cstheme="minorEastAsia"/>
          <w:sz w:val="24"/>
        </w:rPr>
        <w:t>乙方就条款1为甲方提供认证服务，并遵守“服务条款”的要求。</w:t>
      </w:r>
    </w:p>
    <w:p>
      <w:pPr>
        <w:numPr>
          <w:ilvl w:val="0"/>
          <w:numId w:val="1"/>
        </w:numPr>
        <w:spacing w:afterLines="100"/>
        <w:rPr>
          <w:rFonts w:asciiTheme="minorEastAsia" w:hAnsiTheme="minorEastAsia" w:cstheme="minorEastAsia"/>
          <w:sz w:val="24"/>
        </w:rPr>
      </w:pPr>
      <w:r>
        <w:rPr>
          <w:rFonts w:hint="eastAsia" w:asciiTheme="minorEastAsia" w:hAnsiTheme="minorEastAsia" w:cstheme="minorEastAsia"/>
          <w:sz w:val="24"/>
        </w:rPr>
        <w:t>甲方接受乙方的认证服务，接受作为申请者的义务，并履行“服务条款”中所赋予之义务。</w:t>
      </w:r>
    </w:p>
    <w:p>
      <w:pPr>
        <w:numPr>
          <w:ilvl w:val="0"/>
          <w:numId w:val="1"/>
        </w:numPr>
        <w:spacing w:afterLines="100" w:line="360" w:lineRule="auto"/>
        <w:rPr>
          <w:rFonts w:asciiTheme="minorEastAsia" w:hAnsiTheme="minorEastAsia" w:cstheme="minorEastAsia"/>
          <w:sz w:val="24"/>
          <w:u w:val="single"/>
        </w:rPr>
      </w:pPr>
      <w:r>
        <w:rPr>
          <w:rFonts w:hint="eastAsia" w:asciiTheme="minorEastAsia" w:hAnsiTheme="minorEastAsia" w:cstheme="minorEastAsia"/>
          <w:sz w:val="24"/>
        </w:rPr>
        <w:t>本合同未尽事宜，双方同意通过补充协议达成一致，补充协议与合同具有同等效力；协商不一致导致诉讼的，由乙方所属地法院裁决。</w:t>
      </w:r>
    </w:p>
    <w:p>
      <w:pPr>
        <w:numPr>
          <w:ilvl w:val="0"/>
          <w:numId w:val="1"/>
        </w:numPr>
        <w:spacing w:afterLines="50"/>
        <w:rPr>
          <w:rFonts w:asciiTheme="minorEastAsia" w:hAnsiTheme="minorEastAsia" w:cstheme="minorEastAsia"/>
          <w:sz w:val="24"/>
          <w:u w:val="single"/>
        </w:rPr>
      </w:pPr>
      <w:r>
        <w:rPr>
          <w:rFonts w:hint="eastAsia" w:asciiTheme="minorEastAsia" w:hAnsiTheme="minorEastAsia" w:cstheme="minorEastAsia"/>
          <w:sz w:val="24"/>
        </w:rPr>
        <w:t>以下附件为本合同有效组成部分：</w:t>
      </w:r>
    </w:p>
    <w:p>
      <w:pPr>
        <w:spacing w:afterLines="50"/>
        <w:rPr>
          <w:rFonts w:asciiTheme="minorEastAsia" w:hAnsiTheme="minorEastAsia" w:cstheme="minorEastAsia"/>
          <w:sz w:val="24"/>
          <w:u w:val="single"/>
        </w:rPr>
      </w:pPr>
      <w:r>
        <w:rPr>
          <w:rFonts w:hint="eastAsia" w:asciiTheme="minorEastAsia" w:hAnsiTheme="minorEastAsia" w:cstheme="minorEastAsia"/>
          <w:sz w:val="24"/>
        </w:rPr>
        <w:t xml:space="preserve">   附件1：报价单</w:t>
      </w:r>
    </w:p>
    <w:p>
      <w:pPr>
        <w:spacing w:afterLines="100"/>
        <w:rPr>
          <w:rFonts w:asciiTheme="minorEastAsia" w:hAnsiTheme="minorEastAsia" w:cstheme="minorEastAsia"/>
          <w:sz w:val="24"/>
          <w:u w:val="single"/>
        </w:rPr>
      </w:pPr>
      <w:r>
        <w:rPr>
          <w:rFonts w:hint="eastAsia" w:asciiTheme="minorEastAsia" w:hAnsiTheme="minorEastAsia" w:cstheme="minorEastAsia"/>
          <w:sz w:val="24"/>
        </w:rPr>
        <w:t xml:space="preserve">   附件2：服务条款</w:t>
      </w:r>
    </w:p>
    <w:p>
      <w:pPr>
        <w:numPr>
          <w:ilvl w:val="0"/>
          <w:numId w:val="1"/>
        </w:numPr>
        <w:spacing w:afterLines="50"/>
        <w:rPr>
          <w:rFonts w:asciiTheme="minorEastAsia" w:hAnsiTheme="minorEastAsia" w:cstheme="minorEastAsia"/>
          <w:sz w:val="24"/>
        </w:rPr>
      </w:pPr>
      <w:r>
        <w:rPr>
          <w:sz w:val="24"/>
        </w:rPr>
        <w:pict>
          <v:shape id="_x0000_s2054" o:spid="_x0000_s2054" o:spt="202" type="#_x0000_t202" style="position:absolute;left:0pt;margin-left:-5.25pt;margin-top:22.85pt;height:84pt;width:247.5pt;z-index:251659264;mso-width-relative:page;mso-height-relative:page;" fillcolor="#FFFFFF" filled="t" stroked="f" coordsize="21600,21600" o:gfxdata="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l9UITW&#10;AAAACgEAAA8AAAAAAAAAAQAgAAAAIgAAAGRycy9kb3ducmV2LnhtbFBLAQIUABQAAAAIAIdO4kB7&#10;OEWyWwIAAJsEAAAOAAAAAAAAAAEAIAAAACUBAABkcnMvZTJvRG9jLnhtbFBLBQYAAAAABgAGAFkB&#10;AADyBQAAAAA=&#10;">
            <v:path/>
            <v:fill on="t" color2="#FFFFFF" focussize="0,0"/>
            <v:stroke on="f" weight="0.5pt"/>
            <v:imagedata o:title=""/>
            <o:lock v:ext="edit" aspectratio="f"/>
            <v:textbox>
              <w:txbxContent>
                <w:p>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pPr>
                    <w:rPr>
                      <w:rFonts w:asciiTheme="minorEastAsia" w:hAnsiTheme="minorEastAsia" w:cstheme="minorEastAsia"/>
                      <w:color w:val="11368B"/>
                      <w:sz w:val="24"/>
                    </w:rPr>
                  </w:pPr>
                </w:p>
                <w:p>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pPr>
                    <w:rPr>
                      <w:rFonts w:asciiTheme="minorEastAsia" w:hAnsiTheme="minorEastAsia" w:cstheme="minorEastAsia"/>
                      <w:color w:val="11368B"/>
                      <w:sz w:val="24"/>
                    </w:rPr>
                  </w:pPr>
                </w:p>
                <w:p>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w:r>
      <w:r>
        <w:rPr>
          <w:rFonts w:hint="eastAsia" w:asciiTheme="minorEastAsia" w:hAnsiTheme="minorEastAsia" w:cstheme="minorEastAsia"/>
          <w:sz w:val="24"/>
        </w:rPr>
        <w:t xml:space="preserve">本合同一式两份，双方各执一份，自双方均签字盖章后生效。 </w:t>
      </w:r>
    </w:p>
    <w:p>
      <w:pPr>
        <w:spacing w:afterLines="50"/>
        <w:rPr>
          <w:rFonts w:asciiTheme="minorEastAsia" w:hAnsiTheme="minorEastAsia" w:cstheme="minorEastAsia"/>
          <w:sz w:val="24"/>
        </w:rPr>
      </w:pPr>
      <w:r>
        <w:rPr>
          <w:sz w:val="24"/>
        </w:rPr>
        <w:pict>
          <v:shape id="_x0000_s2050" o:spid="_x0000_s2050" o:spt="202" type="#_x0000_t202" style="position:absolute;left:0pt;margin-left:247.35pt;margin-top:0.65pt;height:83.4pt;width:231.4pt;z-index:251660288;mso-width-relative:page;mso-height-relative:page;" fillcolor="#FFFFFF" filled="t" stroked="f" coordsize="21600,21600" o:gfxdata="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hS0sc1gAAAAoBAAAP&#10;AAAAAAAAAAEAIAAAACIAAABkcnMvZG93bnJldi54bWxQSwECFAAUAAAACACHTuJA3PPeWFMCAACQ&#10;BAAADgAAAAAAAAABACAAAAAlAQAAZHJzL2Uyb0RvYy54bWxQSwUGAAAAAAYABgBZAQAA6gUAAAAA&#10;">
            <v:path/>
            <v:fill on="t" color2="#FFFFFF" focussize="0,0"/>
            <v:stroke on="f" weight="0.5pt"/>
            <v:imagedata o:title=""/>
            <o:lock v:ext="edit" aspectratio="f"/>
            <v:textbox>
              <w:txbxContent>
                <w:p>
                  <w:pPr>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pPr>
                    <w:rPr>
                      <w:rFonts w:asciiTheme="minorEastAsia" w:hAnsiTheme="minorEastAsia" w:cstheme="minorEastAsia"/>
                      <w:color w:val="11368B"/>
                      <w:sz w:val="24"/>
                    </w:rPr>
                  </w:pPr>
                </w:p>
                <w:p>
                  <w:pPr>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pPr>
                    <w:rPr>
                      <w:rFonts w:asciiTheme="minorEastAsia" w:hAnsiTheme="minorEastAsia" w:cstheme="minorEastAsia"/>
                      <w:color w:val="11368B"/>
                      <w:sz w:val="24"/>
                    </w:rPr>
                  </w:pPr>
                </w:p>
                <w:p>
                  <w:pPr>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w:r>
    </w:p>
    <w:p>
      <w:pPr>
        <w:spacing w:afterLines="50"/>
        <w:rPr>
          <w:rFonts w:asciiTheme="minorEastAsia" w:hAnsiTheme="minorEastAsia" w:cstheme="minorEastAsia"/>
          <w:sz w:val="24"/>
        </w:rPr>
      </w:pPr>
    </w:p>
    <w:p>
      <w:pPr>
        <w:spacing w:afterLines="50"/>
        <w:rPr>
          <w:rFonts w:asciiTheme="minorEastAsia" w:hAnsiTheme="minorEastAsia" w:cstheme="minorEastAsia"/>
          <w:sz w:val="24"/>
        </w:rPr>
        <w:sectPr>
          <w:footerReference r:id="rId7" w:type="first"/>
          <w:footerReference r:id="rId6" w:type="default"/>
          <w:pgSz w:w="11906" w:h="16838"/>
          <w:pgMar w:top="1440" w:right="1080" w:bottom="1440" w:left="1080" w:header="624" w:footer="992" w:gutter="0"/>
          <w:pgNumType w:start="1"/>
          <w:cols w:space="425" w:num="1"/>
          <w:titlePg/>
          <w:docGrid w:type="lines" w:linePitch="312" w:charSpace="0"/>
        </w:sectPr>
      </w:pPr>
    </w:p>
    <w:p>
      <w:pPr>
        <w:spacing w:beforeLines="50" w:afterLines="50" w:line="360" w:lineRule="auto"/>
        <w:rPr>
          <w:rFonts w:ascii="New Gulim" w:hAnsi="New Gulim" w:eastAsia="宋体" w:cs="New Gulim"/>
          <w:b/>
          <w:sz w:val="28"/>
          <w:szCs w:val="28"/>
        </w:rPr>
      </w:pPr>
      <w:r>
        <w:rPr>
          <w:rFonts w:hint="eastAsia" w:ascii="New Gulim" w:hAnsi="New Gulim" w:eastAsia="宋体" w:cs="New Gulim"/>
          <w:b/>
          <w:sz w:val="28"/>
          <w:szCs w:val="28"/>
        </w:rPr>
        <w:t xml:space="preserve">附件1 </w:t>
      </w:r>
    </w:p>
    <w:p>
      <w:pPr>
        <w:spacing w:beforeLines="50" w:line="360" w:lineRule="auto"/>
        <w:jc w:val="center"/>
        <w:rPr>
          <w:rFonts w:ascii="New Gulim" w:hAnsi="New Gulim" w:eastAsia="宋体" w:cs="New Gulim"/>
          <w:b/>
          <w:sz w:val="28"/>
          <w:szCs w:val="28"/>
        </w:rPr>
      </w:pPr>
      <w:r>
        <w:rPr>
          <w:rFonts w:hint="eastAsia" w:ascii="New Gulim" w:hAnsi="New Gulim" w:eastAsia="宋体" w:cs="New Gulim"/>
          <w:b/>
          <w:sz w:val="28"/>
          <w:szCs w:val="28"/>
        </w:rPr>
        <w:t>认证报</w:t>
      </w:r>
      <w:r>
        <w:rPr>
          <w:rFonts w:ascii="New Gulim" w:hAnsi="New Gulim" w:eastAsia="宋体" w:cs="New Gulim"/>
          <w:b/>
          <w:sz w:val="28"/>
          <w:szCs w:val="28"/>
        </w:rPr>
        <w:t>价</w:t>
      </w:r>
      <w:r>
        <w:rPr>
          <w:rFonts w:hint="eastAsia" w:ascii="New Gulim" w:hAnsi="New Gulim" w:eastAsia="宋体" w:cs="New Gulim"/>
          <w:b/>
          <w:sz w:val="28"/>
          <w:szCs w:val="28"/>
        </w:rPr>
        <w:t>单</w:t>
      </w:r>
    </w:p>
    <w:p>
      <w:pPr>
        <w:rPr>
          <w:rFonts w:ascii="New Gulim" w:hAnsi="New Gulim" w:eastAsia="宋体" w:cs="New Gulim"/>
          <w:szCs w:val="21"/>
        </w:rPr>
      </w:pPr>
      <w:r>
        <w:rPr>
          <w:rFonts w:hint="eastAsia" w:ascii="New Gulim" w:hAnsi="New Gulim" w:eastAsia="宋体" w:cs="New Gulim"/>
          <w:b/>
          <w:szCs w:val="21"/>
        </w:rPr>
        <w:t>1、基本信息</w:t>
      </w:r>
    </w:p>
    <w:p>
      <w:pPr>
        <w:rPr>
          <w:rFonts w:ascii="New Gulim" w:hAnsi="New Gulim" w:eastAsia="宋体" w:cs="New Gulim"/>
          <w:szCs w:val="21"/>
        </w:rPr>
      </w:pPr>
      <w:r>
        <w:rPr>
          <w:rFonts w:hint="eastAsia" w:ascii="New Gulim" w:hAnsi="New Gulim" w:eastAsia="宋体" w:cs="New Gulim"/>
          <w:szCs w:val="21"/>
        </w:rPr>
        <w:t>公司名称：</w:t>
      </w:r>
    </w:p>
    <w:p>
      <w:pPr>
        <w:adjustRightInd w:val="0"/>
        <w:snapToGrid w:val="0"/>
        <w:spacing w:beforeLines="50"/>
        <w:rPr>
          <w:rFonts w:ascii="New Gulim" w:hAnsi="New Gulim" w:eastAsia="宋体" w:cs="New Gulim"/>
          <w:szCs w:val="21"/>
        </w:rPr>
      </w:pPr>
      <w:r>
        <w:rPr>
          <w:rFonts w:hint="eastAsia" w:ascii="New Gulim" w:hAnsi="New Gulim" w:eastAsia="宋体" w:cs="New Gulim"/>
          <w:szCs w:val="21"/>
        </w:rPr>
        <w:t>认证地点：</w:t>
      </w:r>
    </w:p>
    <w:p>
      <w:pPr>
        <w:adjustRightInd w:val="0"/>
        <w:snapToGrid w:val="0"/>
        <w:spacing w:beforeLines="50"/>
        <w:rPr>
          <w:rFonts w:ascii="微软雅黑" w:hAnsi="微软雅黑" w:eastAsia="微软雅黑" w:cs="微软雅黑"/>
          <w:bCs/>
          <w:szCs w:val="21"/>
          <w:u w:val="single"/>
        </w:rPr>
      </w:pPr>
      <w:r>
        <w:rPr>
          <w:rFonts w:hint="eastAsia" w:ascii="New Gulim" w:hAnsi="New Gulim" w:eastAsia="宋体" w:cs="New Gulim"/>
          <w:szCs w:val="21"/>
        </w:rPr>
        <w:t>员工人数：</w:t>
      </w:r>
    </w:p>
    <w:p>
      <w:pPr>
        <w:adjustRightInd w:val="0"/>
        <w:snapToGrid w:val="0"/>
        <w:spacing w:beforeLines="50"/>
        <w:rPr>
          <w:rFonts w:cs="New Gulim" w:asciiTheme="minorEastAsia" w:hAnsiTheme="minorEastAsia"/>
          <w:szCs w:val="21"/>
        </w:rPr>
      </w:pPr>
      <w:r>
        <w:rPr>
          <w:rFonts w:hint="eastAsia" w:ascii="New Gulim" w:hAnsi="New Gulim" w:eastAsia="宋体" w:cs="New Gulim"/>
          <w:szCs w:val="21"/>
        </w:rPr>
        <w:t>认证标准：</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9001:2015 idt GB/T 19001:2016   </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14001:2015 idtGB/T 24001:2016 </w:t>
      </w:r>
    </w:p>
    <w:p>
      <w:pPr>
        <w:adjustRightInd w:val="0"/>
        <w:snapToGrid w:val="0"/>
        <w:ind w:firstLine="1050" w:firstLineChars="500"/>
        <w:rPr>
          <w:rFonts w:cs="New Gulim" w:asciiTheme="minorEastAsia" w:hAnsiTheme="minorEastAsia"/>
          <w:szCs w:val="21"/>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 45001:2018 idt GB/T 45001:2020  </w:t>
      </w:r>
      <w:r>
        <w:rPr>
          <w:rFonts w:hint="eastAsia" w:cs="New Gulim" w:asciiTheme="minorEastAsia" w:hAnsiTheme="minorEastAsia"/>
          <w:szCs w:val="21"/>
        </w:rPr>
        <w:sym w:font="Wingdings 2" w:char="00A3"/>
      </w:r>
      <w:r>
        <w:rPr>
          <w:rFonts w:hint="eastAsia" w:cs="New Gulim" w:asciiTheme="minorEastAsia" w:hAnsiTheme="minorEastAsia"/>
          <w:szCs w:val="21"/>
        </w:rPr>
        <w:t>SY 1002.1-2013idt Q/SHS000.1-2001</w:t>
      </w:r>
    </w:p>
    <w:p>
      <w:pPr>
        <w:adjustRightInd w:val="0"/>
        <w:snapToGrid w:val="0"/>
        <w:ind w:firstLine="1050" w:firstLineChars="500"/>
        <w:rPr>
          <w:rFonts w:cs="New Gulim" w:asciiTheme="minorEastAsia" w:hAnsiTheme="minorEastAsia"/>
          <w:szCs w:val="21"/>
          <w:highlight w:val="none"/>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SY/T 6276-2014                      </w:t>
      </w:r>
      <w:r>
        <w:rPr>
          <w:rFonts w:hint="eastAsia" w:cs="New Gulim" w:asciiTheme="minorEastAsia" w:hAnsiTheme="minorEastAsia"/>
          <w:szCs w:val="21"/>
        </w:rPr>
        <w:sym w:font="Wingdings 2" w:char="00A3"/>
      </w:r>
      <w:r>
        <w:rPr>
          <w:rFonts w:hint="eastAsia" w:cs="New Gulim" w:asciiTheme="minorEastAsia" w:hAnsiTheme="minorEastAsia"/>
          <w:szCs w:val="21"/>
        </w:rPr>
        <w:t>GB/T19025—</w:t>
      </w:r>
      <w:r>
        <w:rPr>
          <w:rFonts w:hint="eastAsia" w:cs="New Gulim" w:asciiTheme="minorEastAsia" w:hAnsiTheme="minorEastAsia"/>
          <w:szCs w:val="21"/>
          <w:highlight w:val="none"/>
        </w:rPr>
        <w:t>2023 idt ISO 10015:2019</w:t>
      </w:r>
    </w:p>
    <w:p>
      <w:pPr>
        <w:adjustRightInd w:val="0"/>
        <w:snapToGrid w:val="0"/>
        <w:ind w:firstLine="1050" w:firstLineChars="500"/>
        <w:rPr>
          <w:rFonts w:cs="New Gulim" w:asciiTheme="minorEastAsia" w:hAnsiTheme="minorEastAsia"/>
          <w:szCs w:val="21"/>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GB/T 27922-2011   </w:t>
      </w:r>
      <w:r>
        <w:rPr>
          <w:rFonts w:hint="eastAsia" w:cs="New Gulim" w:asciiTheme="minorEastAsia" w:hAnsiTheme="minorEastAsia"/>
          <w:szCs w:val="21"/>
        </w:rPr>
        <w:sym w:font="Wingdings 2" w:char="00A3"/>
      </w:r>
      <w:r>
        <w:rPr>
          <w:rFonts w:hint="eastAsia" w:cs="New Gulim" w:asciiTheme="minorEastAsia" w:hAnsiTheme="minorEastAsia"/>
          <w:szCs w:val="21"/>
        </w:rPr>
        <w:t xml:space="preserve"> ISO</w:t>
      </w:r>
      <w:r>
        <w:rPr>
          <w:rFonts w:cs="New Gulim" w:asciiTheme="minorEastAsia" w:hAnsiTheme="minorEastAsia"/>
          <w:szCs w:val="21"/>
        </w:rPr>
        <w:t>/</w:t>
      </w:r>
      <w:r>
        <w:rPr>
          <w:rFonts w:hint="eastAsia" w:cs="New Gulim" w:asciiTheme="minorEastAsia" w:hAnsiTheme="minorEastAsia"/>
          <w:szCs w:val="21"/>
        </w:rPr>
        <w:t>TS</w:t>
      </w:r>
      <w:r>
        <w:rPr>
          <w:rFonts w:cs="New Gulim" w:asciiTheme="minorEastAsia" w:hAnsiTheme="minorEastAsia"/>
          <w:szCs w:val="21"/>
        </w:rPr>
        <w:t xml:space="preserve"> 14067</w:t>
      </w:r>
      <w:r>
        <w:rPr>
          <w:rFonts w:hint="eastAsia" w:cs="New Gulim" w:asciiTheme="minorEastAsia" w:hAnsiTheme="minorEastAsia"/>
          <w:szCs w:val="21"/>
        </w:rPr>
        <w:t xml:space="preserve">   </w:t>
      </w:r>
      <w:r>
        <w:rPr>
          <w:rFonts w:hint="eastAsia" w:cs="New Gulim" w:asciiTheme="minorEastAsia" w:hAnsiTheme="minorEastAsia"/>
          <w:szCs w:val="21"/>
        </w:rPr>
        <w:sym w:font="Wingdings 2" w:char="00A3"/>
      </w:r>
      <w:r>
        <w:rPr>
          <w:rFonts w:cs="New Gulim" w:asciiTheme="minorEastAsia" w:hAnsiTheme="minorEastAsia"/>
          <w:szCs w:val="21"/>
        </w:rPr>
        <w:t>GB/T32150-2015</w:t>
      </w:r>
      <w:r>
        <w:rPr>
          <w:rFonts w:hint="eastAsia" w:cs="New Gulim" w:asciiTheme="minorEastAsia" w:hAnsiTheme="minorEastAsia"/>
          <w:szCs w:val="21"/>
        </w:rPr>
        <w:t xml:space="preserve">  </w:t>
      </w:r>
      <w:r>
        <w:rPr>
          <w:rFonts w:hint="eastAsia" w:eastAsia="宋体" w:cs="宋体"/>
          <w:szCs w:val="21"/>
        </w:rPr>
        <w:t xml:space="preserve">  </w:t>
      </w:r>
      <w:r>
        <w:rPr>
          <w:rFonts w:hint="eastAsia" w:cs="New Gulim" w:asciiTheme="minorEastAsia" w:hAnsiTheme="minorEastAsia"/>
          <w:szCs w:val="21"/>
        </w:rPr>
        <w:sym w:font="Wingdings 2" w:char="00A3"/>
      </w:r>
      <w:r>
        <w:rPr>
          <w:rFonts w:hint="eastAsia" w:cs="New Gulim" w:asciiTheme="minorEastAsia" w:hAnsiTheme="minorEastAsia"/>
          <w:szCs w:val="21"/>
        </w:rPr>
        <w:t>ISO14064</w:t>
      </w:r>
    </w:p>
    <w:p>
      <w:pPr>
        <w:adjustRightInd w:val="0"/>
        <w:snapToGrid w:val="0"/>
        <w:ind w:firstLine="1050" w:firstLineChars="500"/>
        <w:rPr>
          <w:rFonts w:cs="New Gulim" w:asciiTheme="minorEastAsia" w:hAnsiTheme="minorEastAsia"/>
          <w:szCs w:val="21"/>
        </w:rPr>
      </w:pPr>
      <w:r>
        <w:rPr>
          <w:rFonts w:hint="eastAsia" w:cs="New Gulim" w:asciiTheme="minorEastAsia" w:hAnsiTheme="minorEastAsia"/>
          <w:szCs w:val="21"/>
        </w:rPr>
        <w:sym w:font="Wingdings 2" w:char="00A3"/>
      </w:r>
      <w:r>
        <w:rPr>
          <w:rFonts w:hint="eastAsia" w:cs="New Gulim" w:asciiTheme="minorEastAsia" w:hAnsiTheme="minorEastAsia"/>
          <w:szCs w:val="21"/>
        </w:rPr>
        <w:t xml:space="preserve"> </w:t>
      </w:r>
      <w:r>
        <w:rPr>
          <w:rFonts w:asciiTheme="minorEastAsia" w:hAnsiTheme="minorEastAsia"/>
          <w:szCs w:val="21"/>
        </w:rPr>
        <w:t>GB/T 38702-2020</w:t>
      </w:r>
      <w:r>
        <w:rPr>
          <w:rFonts w:hint="eastAsia" w:asciiTheme="minorEastAsia" w:hAnsiTheme="minorEastAsia"/>
          <w:szCs w:val="21"/>
        </w:rPr>
        <w:t xml:space="preserve">/ISO28000:2007       </w:t>
      </w:r>
      <w:r>
        <w:rPr>
          <w:rFonts w:hint="eastAsia" w:cs="New Gulim" w:asciiTheme="minorEastAsia" w:hAnsiTheme="minorEastAsia"/>
          <w:szCs w:val="21"/>
        </w:rPr>
        <w:sym w:font="Wingdings 2" w:char="00A3"/>
      </w:r>
      <w:r>
        <w:rPr>
          <w:rFonts w:hint="eastAsia" w:cs="New Gulim" w:asciiTheme="minorEastAsia" w:hAnsiTheme="minorEastAsia"/>
          <w:szCs w:val="21"/>
        </w:rPr>
        <w:t>GB/T 31950-2015</w:t>
      </w:r>
    </w:p>
    <w:p>
      <w:pPr>
        <w:adjustRightInd w:val="0"/>
        <w:snapToGrid w:val="0"/>
        <w:spacing w:beforeLines="50"/>
        <w:rPr>
          <w:rFonts w:ascii="New Gulim" w:hAnsi="New Gulim" w:eastAsia="宋体" w:cs="New Gulim"/>
          <w:szCs w:val="21"/>
        </w:rPr>
      </w:pPr>
      <w:r>
        <w:rPr>
          <w:rFonts w:hint="eastAsia" w:ascii="New Gulim" w:hAnsi="New Gulim" w:eastAsia="宋体" w:cs="New Gulim"/>
          <w:szCs w:val="21"/>
        </w:rPr>
        <w:t>认证范围：</w:t>
      </w:r>
      <w:r>
        <w:rPr>
          <w:rFonts w:hint="eastAsia" w:ascii="New Gulim" w:hAnsi="New Gulim" w:eastAsia="宋体" w:cs="New Gulim"/>
          <w:szCs w:val="21"/>
          <w:lang w:val="en-US" w:eastAsia="zh-CN"/>
        </w:rPr>
        <w:t xml:space="preserve">                 </w:t>
      </w:r>
      <w:bookmarkStart w:id="2" w:name="_GoBack"/>
      <w:bookmarkEnd w:id="2"/>
      <w:r>
        <w:rPr>
          <w:rFonts w:hint="eastAsia" w:ascii="New Gulim" w:hAnsi="New Gulim" w:eastAsia="宋体" w:cs="New Gulim"/>
          <w:szCs w:val="21"/>
        </w:rPr>
        <w:t xml:space="preserve"> (认证范围将在现场审核时进一步确认）</w:t>
      </w:r>
    </w:p>
    <w:p>
      <w:pPr>
        <w:spacing w:line="440" w:lineRule="exact"/>
        <w:rPr>
          <w:rFonts w:ascii="New Gulim" w:hAnsi="New Gulim" w:eastAsia="宋体" w:cs="New Gulim"/>
          <w:b/>
          <w:szCs w:val="21"/>
        </w:rPr>
      </w:pPr>
      <w:r>
        <w:rPr>
          <w:rFonts w:hint="eastAsia" w:ascii="New Gulim" w:hAnsi="New Gulim" w:eastAsia="宋体" w:cs="New Gulim"/>
          <w:b/>
          <w:szCs w:val="21"/>
        </w:rPr>
        <w:t>2、审核工作及费用</w:t>
      </w:r>
    </w:p>
    <w:tbl>
      <w:tblPr>
        <w:tblStyle w:val="8"/>
        <w:tblW w:w="4660" w:type="pct"/>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2564"/>
        <w:gridCol w:w="2432"/>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14" w:type="pct"/>
            <w:tcBorders>
              <w:top w:val="single" w:color="auto" w:sz="4" w:space="0"/>
              <w:left w:val="single" w:color="auto" w:sz="4" w:space="0"/>
              <w:right w:val="single" w:color="auto" w:sz="4" w:space="0"/>
            </w:tcBorders>
            <w:shd w:val="clear" w:color="auto" w:fill="FFFFFF" w:themeFill="background1"/>
            <w:vAlign w:val="center"/>
          </w:tcPr>
          <w:p>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项目</w:t>
            </w:r>
          </w:p>
        </w:tc>
        <w:tc>
          <w:tcPr>
            <w:tcW w:w="1380" w:type="pct"/>
            <w:tcBorders>
              <w:top w:val="single" w:color="auto" w:sz="4" w:space="0"/>
              <w:left w:val="single" w:color="auto" w:sz="4" w:space="0"/>
              <w:right w:val="single" w:color="auto" w:sz="4" w:space="0"/>
            </w:tcBorders>
            <w:shd w:val="clear" w:color="auto" w:fill="FFFFFF" w:themeFill="background1"/>
            <w:vAlign w:val="center"/>
          </w:tcPr>
          <w:p>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审核类</w:t>
            </w:r>
          </w:p>
        </w:tc>
        <w:tc>
          <w:tcPr>
            <w:tcW w:w="1309" w:type="pct"/>
            <w:tcBorders>
              <w:top w:val="single" w:color="auto" w:sz="4" w:space="0"/>
              <w:left w:val="single" w:color="auto" w:sz="4" w:space="0"/>
              <w:right w:val="single" w:color="auto" w:sz="4" w:space="0"/>
            </w:tcBorders>
            <w:shd w:val="clear" w:color="auto" w:fill="FFFFFF" w:themeFill="background1"/>
            <w:vAlign w:val="center"/>
          </w:tcPr>
          <w:p>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优惠后审核费（CNY）</w:t>
            </w:r>
          </w:p>
        </w:tc>
        <w:tc>
          <w:tcPr>
            <w:tcW w:w="1494" w:type="pct"/>
            <w:tcBorders>
              <w:top w:val="single" w:color="auto" w:sz="4" w:space="0"/>
              <w:left w:val="single" w:color="auto" w:sz="4" w:space="0"/>
              <w:right w:val="single" w:color="auto" w:sz="4" w:space="0"/>
            </w:tcBorders>
            <w:shd w:val="clear" w:color="auto" w:fill="FFFFFF" w:themeFill="background1"/>
            <w:vAlign w:val="center"/>
          </w:tcPr>
          <w:p>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14" w:type="pct"/>
            <w:vMerge w:val="restart"/>
            <w:tcBorders>
              <w:top w:val="single" w:color="auto" w:sz="4" w:space="0"/>
            </w:tcBorders>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初次</w:t>
            </w:r>
          </w:p>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认证</w:t>
            </w:r>
          </w:p>
        </w:tc>
        <w:tc>
          <w:tcPr>
            <w:tcW w:w="1380" w:type="pct"/>
            <w:tcBorders>
              <w:top w:val="single" w:color="auto" w:sz="4" w:space="0"/>
            </w:tcBorders>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申请费</w:t>
            </w:r>
          </w:p>
        </w:tc>
        <w:tc>
          <w:tcPr>
            <w:tcW w:w="1309" w:type="pct"/>
            <w:tcBorders>
              <w:top w:val="single" w:color="auto" w:sz="4" w:space="0"/>
            </w:tcBorders>
            <w:shd w:val="clear" w:color="auto" w:fill="FFFFFF" w:themeFill="background1"/>
            <w:vAlign w:val="center"/>
          </w:tcPr>
          <w:p>
            <w:pPr>
              <w:spacing w:line="160" w:lineRule="atLeast"/>
              <w:jc w:val="center"/>
              <w:rPr>
                <w:rFonts w:hAnsi="微软雅黑" w:eastAsia="微软雅黑" w:cs="微软雅黑"/>
                <w:sz w:val="18"/>
                <w:szCs w:val="18"/>
              </w:rPr>
            </w:pPr>
          </w:p>
        </w:tc>
        <w:tc>
          <w:tcPr>
            <w:tcW w:w="1494" w:type="pct"/>
            <w:vMerge w:val="restart"/>
            <w:tcBorders>
              <w:top w:val="single" w:color="auto" w:sz="4" w:space="0"/>
            </w:tcBorders>
          </w:tcPr>
          <w:p>
            <w:pPr>
              <w:numPr>
                <w:ilvl w:val="0"/>
                <w:numId w:val="2"/>
              </w:numPr>
              <w:spacing w:line="160" w:lineRule="atLeast"/>
              <w:rPr>
                <w:rFonts w:ascii="宋体" w:hAnsi="宋体" w:eastAsia="宋体" w:cs="宋体"/>
                <w:sz w:val="18"/>
                <w:szCs w:val="18"/>
              </w:rPr>
            </w:pPr>
            <w:r>
              <w:rPr>
                <w:rFonts w:hint="eastAsia" w:ascii="宋体" w:hAnsi="宋体" w:eastAsia="宋体" w:cs="宋体"/>
                <w:sz w:val="18"/>
                <w:szCs w:val="18"/>
              </w:rPr>
              <w:t>按国家计委 计价格【1999】212号文收费办法执行；</w:t>
            </w:r>
          </w:p>
          <w:p>
            <w:pPr>
              <w:spacing w:line="160" w:lineRule="atLeas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14" w:type="pct"/>
            <w:vMerge w:val="continue"/>
            <w:shd w:val="clear" w:color="auto" w:fill="FFFFFF" w:themeFill="background1"/>
            <w:vAlign w:val="center"/>
          </w:tcPr>
          <w:p>
            <w:pPr>
              <w:spacing w:line="160" w:lineRule="atLeast"/>
              <w:jc w:val="center"/>
              <w:rPr>
                <w:rFonts w:hAnsi="微软雅黑" w:eastAsia="微软雅黑" w:cs="微软雅黑"/>
                <w:sz w:val="18"/>
                <w:szCs w:val="18"/>
              </w:rPr>
            </w:pPr>
          </w:p>
        </w:tc>
        <w:tc>
          <w:tcPr>
            <w:tcW w:w="1380" w:type="pct"/>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309" w:type="pct"/>
            <w:shd w:val="clear" w:color="auto" w:fill="FFFFFF" w:themeFill="background1"/>
            <w:vAlign w:val="center"/>
          </w:tcPr>
          <w:p>
            <w:pPr>
              <w:spacing w:line="160" w:lineRule="atLeast"/>
              <w:jc w:val="center"/>
              <w:rPr>
                <w:rFonts w:hAnsi="微软雅黑" w:eastAsia="微软雅黑" w:cs="微软雅黑"/>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14" w:type="pct"/>
            <w:vMerge w:val="continue"/>
            <w:shd w:val="clear" w:color="auto" w:fill="FFFFFF" w:themeFill="background1"/>
            <w:vAlign w:val="center"/>
          </w:tcPr>
          <w:p>
            <w:pPr>
              <w:spacing w:line="160" w:lineRule="atLeast"/>
              <w:jc w:val="center"/>
              <w:rPr>
                <w:rFonts w:hAnsi="微软雅黑" w:eastAsia="微软雅黑" w:cs="微软雅黑"/>
                <w:sz w:val="18"/>
                <w:szCs w:val="18"/>
              </w:rPr>
            </w:pPr>
          </w:p>
        </w:tc>
        <w:tc>
          <w:tcPr>
            <w:tcW w:w="1380" w:type="pct"/>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初次审核</w:t>
            </w:r>
          </w:p>
        </w:tc>
        <w:tc>
          <w:tcPr>
            <w:tcW w:w="1309" w:type="pct"/>
            <w:shd w:val="clear" w:color="auto" w:fill="FFFFFF" w:themeFill="background1"/>
            <w:vAlign w:val="center"/>
          </w:tcPr>
          <w:p>
            <w:pPr>
              <w:spacing w:line="160" w:lineRule="atLeast"/>
              <w:jc w:val="center"/>
              <w:rPr>
                <w:rFonts w:hAnsi="微软雅黑" w:eastAsia="微软雅黑" w:cs="微软雅黑"/>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14" w:type="pct"/>
            <w:vMerge w:val="continue"/>
            <w:shd w:val="clear" w:color="auto" w:fill="FFFFFF" w:themeFill="background1"/>
            <w:vAlign w:val="center"/>
          </w:tcPr>
          <w:p>
            <w:pPr>
              <w:spacing w:line="160" w:lineRule="atLeast"/>
              <w:jc w:val="center"/>
              <w:rPr>
                <w:rFonts w:hAnsi="微软雅黑" w:eastAsia="微软雅黑" w:cs="微软雅黑"/>
                <w:sz w:val="18"/>
                <w:szCs w:val="18"/>
              </w:rPr>
            </w:pPr>
          </w:p>
        </w:tc>
        <w:tc>
          <w:tcPr>
            <w:tcW w:w="1380" w:type="pct"/>
            <w:shd w:val="clear" w:color="auto" w:fill="FFFFFF" w:themeFill="background1"/>
            <w:vAlign w:val="center"/>
          </w:tcPr>
          <w:p>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总计</w:t>
            </w:r>
          </w:p>
        </w:tc>
        <w:tc>
          <w:tcPr>
            <w:tcW w:w="1309" w:type="pct"/>
            <w:shd w:val="clear" w:color="auto" w:fill="FFFFFF" w:themeFill="background1"/>
            <w:vAlign w:val="center"/>
          </w:tcPr>
          <w:p>
            <w:pPr>
              <w:spacing w:line="160" w:lineRule="atLeast"/>
              <w:jc w:val="center"/>
              <w:rPr>
                <w:rFonts w:hAnsi="微软雅黑" w:eastAsia="微软雅黑" w:cs="微软雅黑"/>
                <w:b/>
                <w:bCs/>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14" w:type="pct"/>
            <w:vMerge w:val="restart"/>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第1年</w:t>
            </w:r>
          </w:p>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380" w:type="pct"/>
            <w:shd w:val="clear" w:color="auto" w:fill="FFFFFF" w:themeFill="background1"/>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309" w:type="pct"/>
            <w:shd w:val="clear" w:color="auto" w:fill="FFFFFF" w:themeFill="background1"/>
          </w:tcPr>
          <w:p>
            <w:pPr>
              <w:spacing w:line="160" w:lineRule="atLeast"/>
              <w:jc w:val="center"/>
              <w:rPr>
                <w:rFonts w:hAnsi="微软雅黑" w:eastAsia="微软雅黑" w:cs="微软雅黑"/>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14" w:type="pct"/>
            <w:vMerge w:val="continue"/>
            <w:shd w:val="clear" w:color="auto" w:fill="FFFFFF" w:themeFill="background1"/>
            <w:vAlign w:val="center"/>
          </w:tcPr>
          <w:p>
            <w:pPr>
              <w:spacing w:line="160" w:lineRule="atLeast"/>
              <w:jc w:val="center"/>
              <w:rPr>
                <w:rFonts w:hAnsi="微软雅黑" w:eastAsia="微软雅黑" w:cs="微软雅黑"/>
                <w:sz w:val="18"/>
                <w:szCs w:val="18"/>
              </w:rPr>
            </w:pPr>
          </w:p>
        </w:tc>
        <w:tc>
          <w:tcPr>
            <w:tcW w:w="1380" w:type="pct"/>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309" w:type="pct"/>
            <w:shd w:val="clear" w:color="auto" w:fill="FFFFFF" w:themeFill="background1"/>
            <w:vAlign w:val="center"/>
          </w:tcPr>
          <w:p>
            <w:pPr>
              <w:spacing w:line="160" w:lineRule="atLeast"/>
              <w:jc w:val="center"/>
              <w:rPr>
                <w:rFonts w:hAnsi="微软雅黑" w:eastAsia="微软雅黑" w:cs="微软雅黑"/>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14" w:type="pct"/>
            <w:vMerge w:val="continue"/>
            <w:shd w:val="clear" w:color="auto" w:fill="FFFFFF" w:themeFill="background1"/>
            <w:vAlign w:val="center"/>
          </w:tcPr>
          <w:p>
            <w:pPr>
              <w:spacing w:line="160" w:lineRule="atLeast"/>
              <w:jc w:val="center"/>
              <w:rPr>
                <w:rFonts w:hAnsi="微软雅黑" w:eastAsia="微软雅黑" w:cs="微软雅黑"/>
                <w:sz w:val="18"/>
                <w:szCs w:val="18"/>
              </w:rPr>
            </w:pPr>
          </w:p>
        </w:tc>
        <w:tc>
          <w:tcPr>
            <w:tcW w:w="1380" w:type="pct"/>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b/>
                <w:bCs/>
                <w:sz w:val="18"/>
                <w:szCs w:val="18"/>
              </w:rPr>
              <w:t>总计</w:t>
            </w:r>
          </w:p>
        </w:tc>
        <w:tc>
          <w:tcPr>
            <w:tcW w:w="1309" w:type="pct"/>
            <w:shd w:val="clear" w:color="auto" w:fill="FFFFFF" w:themeFill="background1"/>
            <w:vAlign w:val="center"/>
          </w:tcPr>
          <w:p>
            <w:pPr>
              <w:spacing w:line="160" w:lineRule="atLeast"/>
              <w:jc w:val="center"/>
              <w:rPr>
                <w:rFonts w:hAnsi="微软雅黑" w:eastAsia="微软雅黑" w:cs="微软雅黑"/>
                <w:b/>
                <w:bCs/>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14" w:type="pct"/>
            <w:vMerge w:val="restart"/>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第2年</w:t>
            </w:r>
          </w:p>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380" w:type="pct"/>
            <w:shd w:val="clear" w:color="auto" w:fill="FFFFFF" w:themeFill="background1"/>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年度证书管理费</w:t>
            </w:r>
          </w:p>
        </w:tc>
        <w:tc>
          <w:tcPr>
            <w:tcW w:w="1309" w:type="pct"/>
            <w:shd w:val="clear" w:color="auto" w:fill="FFFFFF" w:themeFill="background1"/>
          </w:tcPr>
          <w:p>
            <w:pPr>
              <w:spacing w:line="160" w:lineRule="atLeast"/>
              <w:jc w:val="center"/>
              <w:rPr>
                <w:rFonts w:hAnsi="微软雅黑" w:eastAsia="微软雅黑" w:cs="微软雅黑"/>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14" w:type="pct"/>
            <w:vMerge w:val="continue"/>
            <w:shd w:val="clear" w:color="auto" w:fill="FFFFFF" w:themeFill="background1"/>
            <w:vAlign w:val="center"/>
          </w:tcPr>
          <w:p>
            <w:pPr>
              <w:spacing w:line="160" w:lineRule="atLeast"/>
              <w:jc w:val="center"/>
              <w:rPr>
                <w:rFonts w:hAnsi="微软雅黑" w:eastAsia="微软雅黑" w:cs="微软雅黑"/>
                <w:sz w:val="18"/>
                <w:szCs w:val="18"/>
              </w:rPr>
            </w:pPr>
          </w:p>
        </w:tc>
        <w:tc>
          <w:tcPr>
            <w:tcW w:w="1380" w:type="pct"/>
            <w:shd w:val="clear" w:color="auto" w:fill="FFFFFF" w:themeFill="background1"/>
            <w:vAlign w:val="center"/>
          </w:tcPr>
          <w:p>
            <w:pPr>
              <w:spacing w:line="160" w:lineRule="atLeast"/>
              <w:jc w:val="center"/>
              <w:rPr>
                <w:rFonts w:hAnsi="微软雅黑" w:eastAsia="微软雅黑" w:cs="微软雅黑"/>
                <w:sz w:val="18"/>
                <w:szCs w:val="18"/>
              </w:rPr>
            </w:pPr>
            <w:r>
              <w:rPr>
                <w:rFonts w:hint="eastAsia" w:hAnsi="微软雅黑" w:eastAsia="微软雅黑" w:cs="微软雅黑"/>
                <w:sz w:val="18"/>
                <w:szCs w:val="18"/>
              </w:rPr>
              <w:t>监督审核</w:t>
            </w:r>
          </w:p>
        </w:tc>
        <w:tc>
          <w:tcPr>
            <w:tcW w:w="1309" w:type="pct"/>
            <w:shd w:val="clear" w:color="auto" w:fill="FFFFFF" w:themeFill="background1"/>
            <w:vAlign w:val="center"/>
          </w:tcPr>
          <w:p>
            <w:pPr>
              <w:spacing w:line="160" w:lineRule="atLeast"/>
              <w:jc w:val="center"/>
              <w:rPr>
                <w:rFonts w:hAnsi="微软雅黑" w:eastAsia="微软雅黑" w:cs="微软雅黑"/>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14" w:type="pct"/>
            <w:vMerge w:val="continue"/>
            <w:shd w:val="clear" w:color="auto" w:fill="FFFFFF" w:themeFill="background1"/>
            <w:vAlign w:val="center"/>
          </w:tcPr>
          <w:p>
            <w:pPr>
              <w:spacing w:line="160" w:lineRule="atLeast"/>
              <w:jc w:val="center"/>
              <w:rPr>
                <w:rFonts w:hAnsi="微软雅黑" w:eastAsia="微软雅黑" w:cs="微软雅黑"/>
                <w:sz w:val="18"/>
                <w:szCs w:val="18"/>
              </w:rPr>
            </w:pPr>
          </w:p>
        </w:tc>
        <w:tc>
          <w:tcPr>
            <w:tcW w:w="1380" w:type="pct"/>
            <w:shd w:val="clear" w:color="auto" w:fill="FFFFFF" w:themeFill="background1"/>
            <w:vAlign w:val="center"/>
          </w:tcPr>
          <w:p>
            <w:pPr>
              <w:spacing w:line="160" w:lineRule="atLeast"/>
              <w:jc w:val="center"/>
              <w:rPr>
                <w:rFonts w:hAnsi="微软雅黑" w:eastAsia="微软雅黑" w:cs="微软雅黑"/>
                <w:b/>
                <w:bCs/>
                <w:sz w:val="18"/>
                <w:szCs w:val="18"/>
              </w:rPr>
            </w:pPr>
            <w:r>
              <w:rPr>
                <w:rFonts w:hint="eastAsia" w:hAnsi="微软雅黑" w:eastAsia="微软雅黑" w:cs="微软雅黑"/>
                <w:b/>
                <w:bCs/>
                <w:sz w:val="18"/>
                <w:szCs w:val="18"/>
              </w:rPr>
              <w:t>总计</w:t>
            </w:r>
          </w:p>
        </w:tc>
        <w:tc>
          <w:tcPr>
            <w:tcW w:w="1309" w:type="pct"/>
            <w:shd w:val="clear" w:color="auto" w:fill="FFFFFF" w:themeFill="background1"/>
            <w:vAlign w:val="center"/>
          </w:tcPr>
          <w:p>
            <w:pPr>
              <w:spacing w:line="160" w:lineRule="atLeast"/>
              <w:jc w:val="center"/>
              <w:rPr>
                <w:rFonts w:hAnsi="微软雅黑" w:eastAsia="微软雅黑" w:cs="微软雅黑"/>
                <w:b/>
                <w:bCs/>
                <w:sz w:val="18"/>
                <w:szCs w:val="18"/>
              </w:rPr>
            </w:pPr>
          </w:p>
        </w:tc>
        <w:tc>
          <w:tcPr>
            <w:tcW w:w="1494" w:type="pct"/>
            <w:vMerge w:val="continue"/>
            <w:vAlign w:val="center"/>
          </w:tcPr>
          <w:p>
            <w:pPr>
              <w:spacing w:line="160" w:lineRule="atLeast"/>
              <w:jc w:val="center"/>
              <w:rPr>
                <w:rFonts w:hAnsi="微软雅黑" w:eastAsia="微软雅黑" w:cs="微软雅黑"/>
                <w:sz w:val="18"/>
                <w:szCs w:val="18"/>
              </w:rPr>
            </w:pPr>
          </w:p>
        </w:tc>
      </w:tr>
    </w:tbl>
    <w:p>
      <w:pPr>
        <w:pStyle w:val="11"/>
        <w:spacing w:afterLines="30"/>
        <w:ind w:left="420" w:leftChars="200"/>
        <w:jc w:val="right"/>
        <w:rPr>
          <w:rFonts w:asciiTheme="minorEastAsia" w:hAnsiTheme="minorEastAsia" w:cstheme="minorEastAsia"/>
          <w:b/>
          <w:bCs/>
          <w:szCs w:val="20"/>
        </w:rPr>
      </w:pPr>
      <w:r>
        <w:rPr>
          <w:rFonts w:hint="eastAsia" w:asciiTheme="minorEastAsia" w:hAnsiTheme="minorEastAsia" w:cstheme="minorEastAsia"/>
          <w:b/>
          <w:bCs/>
          <w:szCs w:val="20"/>
        </w:rPr>
        <w:t>* 本报价单自发出日期起90天内视为有效。自本合同签订之日起，本报价单的有效期与本合同一致。</w:t>
      </w:r>
    </w:p>
    <w:p>
      <w:pPr>
        <w:spacing w:line="240" w:lineRule="atLeast"/>
        <w:rPr>
          <w:rFonts w:hAnsi="New Gulim" w:eastAsia="宋体" w:cs="New Gulim"/>
          <w:b/>
          <w:szCs w:val="21"/>
        </w:rPr>
      </w:pPr>
      <w:r>
        <w:rPr>
          <w:rFonts w:hint="eastAsia" w:hAnsi="New Gulim" w:eastAsia="宋体" w:cs="New Gulim"/>
          <w:b/>
          <w:szCs w:val="21"/>
        </w:rPr>
        <w:t>3、其它说明：</w:t>
      </w:r>
    </w:p>
    <w:p>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本报价</w:t>
      </w:r>
      <w:r>
        <w:rPr>
          <w:rFonts w:hint="eastAsia" w:asciiTheme="minorEastAsia" w:hAnsiTheme="minorEastAsia" w:cstheme="minorEastAsia"/>
          <w:color w:val="FF0000"/>
          <w:szCs w:val="20"/>
        </w:rPr>
        <w:t>不含</w:t>
      </w:r>
      <w:r>
        <w:rPr>
          <w:rFonts w:hint="eastAsia" w:asciiTheme="minorEastAsia" w:hAnsiTheme="minorEastAsia" w:cstheme="minorEastAsia"/>
          <w:szCs w:val="20"/>
        </w:rPr>
        <w:t>增值税费用；</w:t>
      </w:r>
    </w:p>
    <w:p>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本报价不含交通、住宿等差旅费用，差旅费用按照实际发生由贵司实报实销；</w:t>
      </w:r>
    </w:p>
    <w:p>
      <w:pPr>
        <w:pStyle w:val="11"/>
        <w:numPr>
          <w:ilvl w:val="0"/>
          <w:numId w:val="3"/>
        </w:numPr>
        <w:ind w:leftChars="0" w:firstLine="420" w:firstLineChars="200"/>
        <w:rPr>
          <w:rFonts w:asciiTheme="minorEastAsia" w:hAnsiTheme="minorEastAsia" w:cstheme="minorEastAsia"/>
          <w:szCs w:val="20"/>
        </w:rPr>
      </w:pPr>
      <w:r>
        <w:rPr>
          <w:rFonts w:hint="eastAsia" w:asciiTheme="minorEastAsia" w:hAnsiTheme="minorEastAsia" w:cstheme="minorEastAsia"/>
          <w:szCs w:val="20"/>
        </w:rPr>
        <w:t>其他费用（如：发行及邮寄认证书所需费用）： 无</w:t>
      </w:r>
    </w:p>
    <w:p>
      <w:pPr>
        <w:pStyle w:val="11"/>
        <w:numPr>
          <w:ilvl w:val="0"/>
          <w:numId w:val="3"/>
        </w:numPr>
        <w:ind w:leftChars="0" w:firstLine="420" w:firstLineChars="200"/>
        <w:rPr>
          <w:rFonts w:asciiTheme="minorEastAsia" w:hAnsiTheme="minorEastAsia" w:cstheme="minorEastAsia"/>
          <w:szCs w:val="20"/>
        </w:rPr>
      </w:pPr>
      <w:r>
        <w:rPr>
          <w:rFonts w:asciiTheme="minorEastAsia" w:hAnsiTheme="minorEastAsia" w:cstheme="minorEastAsia"/>
          <w:szCs w:val="20"/>
        </w:rPr>
        <w:t>初审</w:t>
      </w:r>
      <w:r>
        <w:rPr>
          <w:rFonts w:hint="eastAsia" w:asciiTheme="minorEastAsia" w:hAnsiTheme="minorEastAsia" w:cstheme="minorEastAsia"/>
          <w:szCs w:val="20"/>
        </w:rPr>
        <w:t>/再认证</w:t>
      </w:r>
      <w:r>
        <w:rPr>
          <w:rFonts w:asciiTheme="minorEastAsia" w:hAnsiTheme="minorEastAsia" w:cstheme="minorEastAsia"/>
          <w:szCs w:val="20"/>
        </w:rPr>
        <w:t>费用支付方式为审核前一次性支付；监督审核费应于每次监督审核前一次性支付。</w:t>
      </w:r>
    </w:p>
    <w:p>
      <w:pPr>
        <w:pStyle w:val="11"/>
        <w:numPr>
          <w:ilvl w:val="0"/>
          <w:numId w:val="3"/>
        </w:numPr>
        <w:ind w:leftChars="0" w:firstLine="420" w:firstLineChars="200"/>
        <w:rPr>
          <w:rFonts w:asciiTheme="minorEastAsia" w:hAnsiTheme="minorEastAsia" w:cstheme="minorEastAsia"/>
          <w:szCs w:val="20"/>
        </w:rPr>
      </w:pPr>
      <w:r>
        <w:t>本报价单内各项审核所需的人天数是根据甲方所提供的资料而定。审核时，若审核员发现实际情况与甲方所提供的资料有所出入，须经双方确认后调整所需人天数及费用。</w:t>
      </w:r>
    </w:p>
    <w:p>
      <w:pPr>
        <w:pStyle w:val="11"/>
        <w:ind w:left="630" w:leftChars="0"/>
        <w:rPr>
          <w:rFonts w:asciiTheme="minorEastAsia" w:hAnsiTheme="minorEastAsia" w:cstheme="minorEastAsia"/>
          <w:szCs w:val="20"/>
        </w:rPr>
      </w:pPr>
      <w:r>
        <w:rPr>
          <w:sz w:val="24"/>
        </w:rPr>
        <w:pict>
          <v:shape id="_x0000_s2052" o:spid="_x0000_s2052" o:spt="202" type="#_x0000_t202" style="position:absolute;left:0pt;margin-left:254.45pt;margin-top:3.65pt;height:77.45pt;width:247.5pt;z-index:251663360;mso-width-relative:page;mso-height-relative:page;" fillcolor="#FFFFFF" filled="t" stroked="f" coordsize="21600,21600" o:gfxdata="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CiUa01QAAAAsBAAAPAAAAAAAA&#10;AAEAIAAAACIAAABkcnMvZG93bnJldi54bWxQSwECFAAUAAAACACHTuJAUUXF7U4CAACPBAAADgAA&#10;AAAAAAABACAAAAAkAQAAZHJzL2Uyb0RvYy54bWxQSwUGAAAAAAYABgBZAQAA5AUAAAAA&#10;">
            <v:path/>
            <v:fill on="t" color2="#FFFFFF" focussize="0,0"/>
            <v:stroke on="f" weight="0.5pt"/>
            <v:imagedata o:title=""/>
            <o:lock v:ext="edit" aspectratio="f"/>
            <v:textbox>
              <w:txbxContent>
                <w:p>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乙方：辽宁中正信合检测认证有限公司</w:t>
                  </w:r>
                </w:p>
                <w:p>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w:r>
      <w:r>
        <w:rPr>
          <w:sz w:val="24"/>
        </w:rPr>
        <w:pict>
          <v:shape id="_x0000_s2051" o:spid="_x0000_s2051" o:spt="202" type="#_x0000_t202" style="position:absolute;left:0pt;margin-left:-2.85pt;margin-top:6.4pt;height:75.3pt;width:248.4pt;z-index:251662336;mso-width-relative:page;mso-height-relative:page;" stroked="f" coordsize="21600,21600" o:gfxdata="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rsaT0wAAAAcBAAAPAAAAAAAAAAEA&#10;IAAAACIAAABkcnMvZG93bnJldi54bWxQSwECFAAUAAAACACHTuJAsN7fsE0CAACPBAAADgAAAAAA&#10;AAABACAAAAAiAQAAZHJzL2Uyb0RvYy54bWxQSwUGAAAAAAYABgBZAQAA4QUAAAAA&#10;">
            <v:path/>
            <v:fill focussize="0,0"/>
            <v:stroke on="f" weight="0.5pt" joinstyle="miter"/>
            <v:imagedata o:title=""/>
            <o:lock v:ext="edit"/>
            <v:textbox>
              <w:txbxContent>
                <w:p>
                  <w:pPr>
                    <w:rPr>
                      <w:rFonts w:asciiTheme="minorEastAsia" w:hAnsiTheme="minorEastAsia" w:cstheme="minorEastAsia"/>
                      <w:color w:val="11368B"/>
                      <w:sz w:val="24"/>
                    </w:rPr>
                  </w:pPr>
                  <w:r>
                    <w:rPr>
                      <w:rFonts w:hint="eastAsia" w:asciiTheme="minorEastAsia" w:hAnsiTheme="minorEastAsia" w:cstheme="minorEastAsia"/>
                      <w:color w:val="11368B"/>
                      <w:sz w:val="24"/>
                    </w:rPr>
                    <w:t>甲方：</w:t>
                  </w:r>
                </w:p>
                <w:p>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法定代表人/委托人（盖章）：</w:t>
                  </w:r>
                </w:p>
                <w:p>
                  <w:pPr>
                    <w:spacing w:line="360" w:lineRule="auto"/>
                    <w:rPr>
                      <w:rFonts w:asciiTheme="minorEastAsia" w:hAnsiTheme="minorEastAsia" w:cstheme="minorEastAsia"/>
                      <w:color w:val="11368B"/>
                      <w:sz w:val="24"/>
                    </w:rPr>
                  </w:pPr>
                  <w:r>
                    <w:rPr>
                      <w:rFonts w:hint="eastAsia" w:asciiTheme="minorEastAsia" w:hAnsiTheme="minorEastAsia" w:cstheme="minorEastAsia"/>
                      <w:color w:val="11368B"/>
                      <w:sz w:val="24"/>
                    </w:rPr>
                    <w:t>日期：</w:t>
                  </w:r>
                </w:p>
              </w:txbxContent>
            </v:textbox>
          </v:shape>
        </w:pict>
      </w:r>
    </w:p>
    <w:p>
      <w:pPr>
        <w:pStyle w:val="11"/>
        <w:ind w:left="630" w:leftChars="0"/>
        <w:rPr>
          <w:rFonts w:asciiTheme="minorEastAsia" w:hAnsiTheme="minorEastAsia" w:cstheme="minorEastAsia"/>
          <w:szCs w:val="20"/>
        </w:rPr>
      </w:pPr>
    </w:p>
    <w:p>
      <w:pPr>
        <w:spacing w:afterLines="50"/>
        <w:rPr>
          <w:rFonts w:asciiTheme="minorEastAsia" w:hAnsiTheme="minorEastAsia" w:cstheme="minorEastAsia"/>
          <w:sz w:val="24"/>
        </w:rPr>
      </w:pPr>
    </w:p>
    <w:p>
      <w:pPr>
        <w:spacing w:beforeLines="50" w:afterLines="50" w:line="360" w:lineRule="auto"/>
        <w:rPr>
          <w:rFonts w:ascii="New Gulim" w:hAnsi="New Gulim" w:eastAsia="宋体" w:cs="New Gulim"/>
          <w:b/>
          <w:sz w:val="28"/>
          <w:szCs w:val="28"/>
        </w:rPr>
      </w:pPr>
      <w:r>
        <w:rPr>
          <w:rFonts w:hint="eastAsia" w:ascii="New Gulim" w:hAnsi="New Gulim" w:eastAsia="宋体" w:cs="New Gulim"/>
          <w:b/>
          <w:sz w:val="28"/>
          <w:szCs w:val="28"/>
        </w:rPr>
        <w:t>附件2</w:t>
      </w:r>
    </w:p>
    <w:p>
      <w:pPr>
        <w:spacing w:afterLines="50"/>
        <w:rPr>
          <w:rFonts w:ascii="New Gulim" w:hAnsi="New Gulim" w:eastAsia="宋体" w:cs="New Gulim"/>
          <w:b/>
          <w:sz w:val="32"/>
          <w:szCs w:val="32"/>
        </w:rPr>
      </w:pPr>
    </w:p>
    <w:p>
      <w:pPr>
        <w:spacing w:afterLines="50"/>
        <w:jc w:val="center"/>
        <w:rPr>
          <w:rFonts w:asciiTheme="minorEastAsia" w:hAnsiTheme="minorEastAsia" w:cstheme="minorEastAsia"/>
          <w:szCs w:val="21"/>
        </w:rPr>
      </w:pPr>
      <w:r>
        <w:rPr>
          <w:rFonts w:hint="eastAsia" w:ascii="New Gulim" w:hAnsi="New Gulim" w:eastAsia="宋体" w:cs="New Gulim"/>
          <w:b/>
          <w:sz w:val="32"/>
          <w:szCs w:val="32"/>
        </w:rPr>
        <w:t>服务条款</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w:t>
      </w:r>
    </w:p>
    <w:p>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本合同是在甲方签署的认证申请书的基础上由甲乙双方签订的。本合同由以下部分组成：</w:t>
      </w:r>
    </w:p>
    <w:p>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乙方向甲方提供的服务报价单（同时详细约定了报价的有效期间）；</w:t>
      </w:r>
    </w:p>
    <w:p>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服务条款（包含大部分的法律条文，约定如何按照甲方的要求向甲方提供服务，以及甲方相应的义务）；</w:t>
      </w:r>
    </w:p>
    <w:p>
      <w:pPr>
        <w:numPr>
          <w:ilvl w:val="0"/>
          <w:numId w:val="5"/>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与甲方接受审核所采用的专项认证方案相关的任何具体规定（这些规定由乙方在甲方签署认证申请时一并告知甲方，且效力高于合同的其他条款。在此种情况下，本条款将为这些规定的明示条款）</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合同期限</w:t>
      </w:r>
    </w:p>
    <w:p>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在甲方或乙方终止合同之前，本合同持续有效。第十条约定了如何终止合同及终止的效力。</w:t>
      </w:r>
    </w:p>
    <w:p>
      <w:pPr>
        <w:numPr>
          <w:ilvl w:val="0"/>
          <w:numId w:val="4"/>
        </w:numPr>
        <w:spacing w:afterLines="50"/>
        <w:rPr>
          <w:rFonts w:asciiTheme="minorEastAsia" w:hAnsiTheme="minorEastAsia" w:cstheme="minorEastAsia"/>
          <w:b/>
          <w:bCs/>
          <w:color w:val="11368B"/>
          <w:szCs w:val="21"/>
        </w:rPr>
      </w:pPr>
      <w:r>
        <w:rPr>
          <w:rFonts w:hint="eastAsia" w:asciiTheme="minorEastAsia" w:hAnsiTheme="minorEastAsia" w:cstheme="minorEastAsia"/>
          <w:b/>
          <w:bCs/>
          <w:szCs w:val="21"/>
        </w:rPr>
        <w:t>认证需经过下列程序</w:t>
      </w:r>
    </w:p>
    <w:p>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管理体系文件审核。 </w:t>
      </w:r>
    </w:p>
    <w:p>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现场审核。</w:t>
      </w:r>
    </w:p>
    <w:p>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批准注册，颁发认证证书。</w:t>
      </w:r>
    </w:p>
    <w:p>
      <w:pPr>
        <w:numPr>
          <w:ilvl w:val="0"/>
          <w:numId w:val="6"/>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初次认证后的第一次监督审核应在认证决定日期起12个月内进行，此后，监督审核应至少每个日历年（应进行再认证的年份除外）进行一次，且两次监督审核的时间间隔不得超过12个月，（QMS、EMS、OHSMS管理体系在完成初审第1次监督后，如遇特殊情况（如遇不可抗拒原因），甲方可提出书面延期申请，经乙方确定后可适当延长，最晚两次审核的时间间隔不能超过15个月且在日历年内进行）。证书到期前三个月进行再认证审核，换发证书。</w:t>
      </w:r>
    </w:p>
    <w:p>
      <w:pPr>
        <w:numPr>
          <w:ilvl w:val="0"/>
          <w:numId w:val="4"/>
        </w:numPr>
        <w:spacing w:afterLines="50"/>
        <w:rPr>
          <w:rFonts w:asciiTheme="minorEastAsia" w:hAnsiTheme="minorEastAsia" w:cstheme="minorEastAsia"/>
          <w:szCs w:val="21"/>
        </w:rPr>
      </w:pPr>
      <w:r>
        <w:rPr>
          <w:rFonts w:hint="eastAsia" w:asciiTheme="minorEastAsia" w:hAnsiTheme="minorEastAsia" w:cstheme="minorEastAsia"/>
          <w:szCs w:val="21"/>
        </w:rPr>
        <w:t>如甲方未按规定的时限接受乙方对其实施的监督审核，乙方将按照行业相关规定暂停直至撤销甲方认证注册资格，并按规定上报相关认可机构及向社会公告。甲方所认证的管理体系发生重大变化或发生了与此管理体系相关的、影响重大的事故时，甲方应接受乙方的非例行监督审核。认证机构有权增加监督审核频次，以保证监督审核的有效性。</w:t>
      </w:r>
    </w:p>
    <w:p>
      <w:pPr>
        <w:numPr>
          <w:ilvl w:val="0"/>
          <w:numId w:val="4"/>
        </w:numPr>
        <w:spacing w:afterLines="50"/>
        <w:rPr>
          <w:rFonts w:asciiTheme="minorEastAsia" w:hAnsiTheme="minorEastAsia" w:cstheme="minorEastAsia"/>
          <w:szCs w:val="21"/>
        </w:rPr>
      </w:pPr>
      <w:r>
        <w:rPr>
          <w:rFonts w:hint="eastAsia" w:asciiTheme="minorEastAsia" w:hAnsiTheme="minorEastAsia" w:cstheme="minorEastAsia"/>
          <w:szCs w:val="21"/>
        </w:rPr>
        <w:t>甲方管理体系覆盖的产品/服务范围为季节性生产的，应在生产季节接受乙方的初审、再认证及监督审核，且每两次审核时间间隔满足第四条款要求。</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费用及支付方式</w:t>
      </w:r>
    </w:p>
    <w:p>
      <w:pPr>
        <w:spacing w:line="276"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收费：</w:t>
      </w:r>
    </w:p>
    <w:p>
      <w:pPr>
        <w:spacing w:afterLines="50"/>
        <w:ind w:left="630"/>
        <w:rPr>
          <w:rFonts w:asciiTheme="minorEastAsia" w:hAnsiTheme="minorEastAsia" w:cstheme="minorEastAsia"/>
          <w:szCs w:val="21"/>
        </w:rPr>
      </w:pPr>
      <w:r>
        <w:rPr>
          <w:rFonts w:hint="eastAsia" w:asciiTheme="minorEastAsia" w:hAnsiTheme="minorEastAsia" w:cstheme="minorEastAsia"/>
          <w:szCs w:val="21"/>
        </w:rPr>
        <w:t>6.1甲方应向乙方支付以下费用：</w:t>
      </w:r>
    </w:p>
    <w:p>
      <w:pPr>
        <w:spacing w:afterLines="50"/>
        <w:ind w:left="630"/>
        <w:rPr>
          <w:rFonts w:asciiTheme="minorEastAsia" w:hAnsiTheme="minorEastAsia" w:cstheme="minorEastAsia"/>
          <w:szCs w:val="21"/>
        </w:rPr>
      </w:pPr>
      <w:r>
        <w:rPr>
          <w:rFonts w:hint="eastAsia" w:asciiTheme="minorEastAsia" w:hAnsiTheme="minorEastAsia" w:cstheme="minorEastAsia"/>
          <w:szCs w:val="21"/>
        </w:rPr>
        <w:t>6.1.1初次认证审核费；</w:t>
      </w:r>
    </w:p>
    <w:p>
      <w:pPr>
        <w:ind w:firstLine="630" w:firstLineChars="300"/>
        <w:rPr>
          <w:rFonts w:asciiTheme="minorEastAsia" w:hAnsiTheme="minorEastAsia" w:cstheme="minorEastAsia"/>
          <w:szCs w:val="21"/>
        </w:rPr>
      </w:pPr>
      <w:r>
        <w:rPr>
          <w:rFonts w:hint="eastAsia" w:asciiTheme="minorEastAsia" w:hAnsiTheme="minorEastAsia" w:cstheme="minorEastAsia"/>
          <w:szCs w:val="21"/>
        </w:rPr>
        <w:t>6.1.2监督审核费；</w:t>
      </w:r>
    </w:p>
    <w:p>
      <w:pPr>
        <w:ind w:firstLine="630" w:firstLineChars="300"/>
        <w:rPr>
          <w:rFonts w:asciiTheme="minorEastAsia" w:hAnsiTheme="minorEastAsia" w:cstheme="minorEastAsia"/>
          <w:szCs w:val="21"/>
        </w:rPr>
      </w:pPr>
      <w:r>
        <w:rPr>
          <w:rFonts w:hint="eastAsia" w:asciiTheme="minorEastAsia" w:hAnsiTheme="minorEastAsia" w:cstheme="minorEastAsia"/>
          <w:szCs w:val="21"/>
        </w:rPr>
        <w:t>6.1.3再审核费；</w:t>
      </w:r>
    </w:p>
    <w:p>
      <w:pPr>
        <w:ind w:left="1260" w:leftChars="300" w:hanging="630" w:hangingChars="300"/>
        <w:rPr>
          <w:rFonts w:asciiTheme="minorEastAsia" w:hAnsiTheme="minorEastAsia" w:cstheme="minorEastAsia"/>
          <w:szCs w:val="21"/>
        </w:rPr>
      </w:pPr>
      <w:r>
        <w:rPr>
          <w:rFonts w:hint="eastAsia" w:asciiTheme="minorEastAsia" w:hAnsiTheme="minorEastAsia" w:cstheme="minorEastAsia"/>
          <w:szCs w:val="21"/>
        </w:rPr>
        <w:t>6.1.4特殊审核费（如在审核过程中发现严重不符合，需另行安排现场验证或补充审核而产生的审核费，审核组交通差旅食宿费等相关费用）。</w:t>
      </w:r>
    </w:p>
    <w:p>
      <w:pPr>
        <w:pStyle w:val="11"/>
        <w:numPr>
          <w:ilvl w:val="1"/>
          <w:numId w:val="7"/>
        </w:numPr>
        <w:spacing w:beforeLines="50" w:afterLines="50"/>
        <w:ind w:leftChars="0"/>
        <w:rPr>
          <w:rFonts w:asciiTheme="minorEastAsia" w:hAnsiTheme="minorEastAsia" w:cstheme="minorEastAsia"/>
          <w:szCs w:val="21"/>
        </w:rPr>
      </w:pPr>
      <w:r>
        <w:rPr>
          <w:rFonts w:hint="eastAsia" w:asciiTheme="minorEastAsia" w:hAnsiTheme="minorEastAsia" w:cstheme="minorEastAsia"/>
          <w:szCs w:val="21"/>
        </w:rPr>
        <w:t>付款期限：当发生以上其中的任一项审核认证费时甲方应于现场审核前30日内一次性交纳。</w:t>
      </w:r>
    </w:p>
    <w:p>
      <w:pPr>
        <w:pStyle w:val="11"/>
        <w:numPr>
          <w:ilvl w:val="1"/>
          <w:numId w:val="7"/>
        </w:numPr>
        <w:tabs>
          <w:tab w:val="left" w:pos="993"/>
        </w:tabs>
        <w:spacing w:afterLines="50"/>
        <w:ind w:leftChars="0"/>
        <w:rPr>
          <w:rFonts w:asciiTheme="minorEastAsia" w:hAnsiTheme="minorEastAsia" w:cstheme="minorEastAsia"/>
          <w:szCs w:val="21"/>
        </w:rPr>
      </w:pPr>
      <w:r>
        <w:rPr>
          <w:rFonts w:hint="eastAsia" w:asciiTheme="minorEastAsia" w:hAnsiTheme="minorEastAsia" w:cstheme="minorEastAsia"/>
          <w:szCs w:val="21"/>
        </w:rPr>
        <w:t>延期付款的利息：乙方可能会按届时中国人民银行贷款年利率对迟于第2条中提到的付款期限后支付的数额加收利息。</w:t>
      </w:r>
    </w:p>
    <w:p>
      <w:pPr>
        <w:pStyle w:val="11"/>
        <w:numPr>
          <w:ilvl w:val="1"/>
          <w:numId w:val="7"/>
        </w:numPr>
        <w:spacing w:beforeLines="50" w:afterLines="50"/>
        <w:ind w:left="993" w:leftChars="0" w:hanging="426"/>
        <w:rPr>
          <w:rFonts w:asciiTheme="minorEastAsia" w:hAnsiTheme="minorEastAsia" w:cstheme="minorEastAsia"/>
          <w:szCs w:val="21"/>
        </w:rPr>
      </w:pPr>
      <w:r>
        <w:rPr>
          <w:rFonts w:hint="eastAsia" w:ascii="宋体" w:hAnsi="宋体"/>
          <w:szCs w:val="21"/>
        </w:rPr>
        <w:t>乙方派出人员进行现场审核所发生的食、宿、交通等费用按实际支出由甲方承担。</w:t>
      </w:r>
    </w:p>
    <w:p>
      <w:pPr>
        <w:pStyle w:val="11"/>
        <w:numPr>
          <w:ilvl w:val="1"/>
          <w:numId w:val="7"/>
        </w:numPr>
        <w:spacing w:beforeLines="50" w:afterLines="50"/>
        <w:ind w:left="993" w:leftChars="0" w:hanging="426"/>
        <w:rPr>
          <w:rFonts w:asciiTheme="minorEastAsia" w:hAnsiTheme="minorEastAsia" w:cstheme="minorEastAsia"/>
          <w:szCs w:val="21"/>
        </w:rPr>
      </w:pPr>
      <w:r>
        <w:rPr>
          <w:rFonts w:hint="eastAsia" w:ascii="宋体" w:hAnsi="宋体"/>
          <w:szCs w:val="21"/>
        </w:rPr>
        <w:t>如需加印证书副本，加印费每套100元。</w:t>
      </w:r>
    </w:p>
    <w:p>
      <w:pPr>
        <w:pStyle w:val="11"/>
        <w:numPr>
          <w:ilvl w:val="1"/>
          <w:numId w:val="7"/>
        </w:numPr>
        <w:spacing w:afterLines="50"/>
        <w:ind w:left="993" w:leftChars="0" w:hanging="426"/>
        <w:rPr>
          <w:rFonts w:asciiTheme="minorEastAsia" w:hAnsiTheme="minorEastAsia" w:cstheme="minorEastAsia"/>
          <w:szCs w:val="21"/>
        </w:rPr>
      </w:pPr>
      <w:r>
        <w:rPr>
          <w:rFonts w:hint="eastAsia" w:asciiTheme="minorEastAsia" w:hAnsiTheme="minorEastAsia" w:cstheme="minorEastAsia"/>
          <w:szCs w:val="21"/>
        </w:rPr>
        <w:t>账号：甲方以银行转账方式付款：</w:t>
      </w:r>
    </w:p>
    <w:p>
      <w:pPr>
        <w:spacing w:afterLines="50"/>
        <w:ind w:firstLine="991" w:firstLineChars="472"/>
        <w:rPr>
          <w:rFonts w:asciiTheme="minorEastAsia" w:hAnsiTheme="minorEastAsia" w:cstheme="minorEastAsia"/>
          <w:iCs/>
          <w:szCs w:val="21"/>
          <w:u w:val="single"/>
        </w:rPr>
      </w:pPr>
      <w:r>
        <w:rPr>
          <w:rFonts w:hint="eastAsia" w:asciiTheme="minorEastAsia" w:hAnsiTheme="minorEastAsia" w:cstheme="minorEastAsia"/>
          <w:iCs/>
          <w:szCs w:val="21"/>
        </w:rPr>
        <w:t>帐户名称：</w:t>
      </w:r>
      <w:r>
        <w:rPr>
          <w:rFonts w:hint="eastAsia" w:asciiTheme="minorEastAsia" w:hAnsiTheme="minorEastAsia" w:cstheme="minorEastAsia"/>
          <w:iCs/>
          <w:szCs w:val="21"/>
          <w:u w:val="single"/>
        </w:rPr>
        <w:t>辽宁中正信合检测认证有限公司</w:t>
      </w:r>
    </w:p>
    <w:p>
      <w:pPr>
        <w:spacing w:afterLines="50"/>
        <w:ind w:firstLine="991" w:firstLineChars="472"/>
        <w:rPr>
          <w:rFonts w:asciiTheme="minorEastAsia" w:hAnsiTheme="minorEastAsia" w:cstheme="minorEastAsia"/>
          <w:iCs/>
          <w:szCs w:val="21"/>
        </w:rPr>
      </w:pPr>
      <w:r>
        <w:rPr>
          <w:rFonts w:hint="eastAsia" w:asciiTheme="minorEastAsia" w:hAnsiTheme="minorEastAsia" w:cstheme="minorEastAsia"/>
          <w:iCs/>
          <w:szCs w:val="21"/>
        </w:rPr>
        <w:t>开户银行：</w:t>
      </w:r>
      <w:r>
        <w:rPr>
          <w:rFonts w:hint="eastAsia" w:asciiTheme="minorEastAsia" w:hAnsiTheme="minorEastAsia" w:cstheme="minorEastAsia"/>
          <w:iCs/>
          <w:szCs w:val="21"/>
          <w:u w:val="single"/>
        </w:rPr>
        <w:t>中国建设银行股份有限公司沈阳苏铁支行</w:t>
      </w:r>
    </w:p>
    <w:p>
      <w:pPr>
        <w:spacing w:afterLines="50"/>
        <w:ind w:firstLine="991" w:firstLineChars="472"/>
        <w:rPr>
          <w:rFonts w:asciiTheme="minorEastAsia" w:hAnsiTheme="minorEastAsia" w:cstheme="minorEastAsia"/>
          <w:iCs/>
          <w:szCs w:val="21"/>
          <w:u w:val="single"/>
        </w:rPr>
      </w:pPr>
      <w:r>
        <w:rPr>
          <w:rFonts w:hint="eastAsia" w:asciiTheme="minorEastAsia" w:hAnsiTheme="minorEastAsia" w:cstheme="minorEastAsia"/>
          <w:iCs/>
          <w:szCs w:val="21"/>
        </w:rPr>
        <w:t>银行帐号：</w:t>
      </w:r>
      <w:r>
        <w:rPr>
          <w:rFonts w:hint="eastAsia" w:asciiTheme="minorEastAsia" w:hAnsiTheme="minorEastAsia" w:cstheme="minorEastAsia"/>
          <w:iCs/>
          <w:szCs w:val="21"/>
          <w:u w:val="single"/>
        </w:rPr>
        <w:t>21050144360100000935</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乙方的安全</w:t>
      </w:r>
    </w:p>
    <w:p>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在甲方场地内遵守甲方的规定</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尽合理可能遵守甲方全部健康安全规定，并遵守安全要求。甲方务必在确认审核时间的同时将上述规定告知乙方。如果因为乙方遵守甲方场所的规则、规章和要求而妨碍乙方提供此前同意提供的服务，不能视为乙方违反合同。</w:t>
      </w:r>
    </w:p>
    <w:p>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危险</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当乙方审核甲方场所时，甲方应确保乙方充分知晓可能遇到的危险和风险。甲方除了需要提供适当程度的监控之外，还应提供个人防护装备。发生任何可能会带来风险的事故或事件，请立即通知乙方。</w:t>
      </w:r>
    </w:p>
    <w:p>
      <w:pPr>
        <w:numPr>
          <w:ilvl w:val="0"/>
          <w:numId w:val="8"/>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乙方中止审核的权利</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即使甲方已经向乙方提供了乙方所需的有关甲方的场所和危险的资料，如果在审核过程中有理由相信甲方未能遵守相关安全健康规定，或者乙方人员的安全受到任何形式的威胁，那么乙方可以中止访问。乙方应向甲方报告中止原因。如果出现上述情况，乙方将在报告中所述情况得到改善并对改善的结果满意后重新进入甲方场所。甲方仍需如同该审核未被终止一样支付全部应付费用。</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乙方的保密义务</w:t>
      </w:r>
    </w:p>
    <w:p>
      <w:pPr>
        <w:numPr>
          <w:ilvl w:val="0"/>
          <w:numId w:val="9"/>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保密性</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承认，乙方可能会在认证审核中不时接触到甲方认为具有商业敏感性的信息。因此，乙方承诺，在合同履行期内以及合同终止之日起三年内，乙方不得将任何有关甲方业务、事务、客户及供应商的保密信息透露给任何人。</w:t>
      </w:r>
    </w:p>
    <w:p>
      <w:pPr>
        <w:numPr>
          <w:ilvl w:val="0"/>
          <w:numId w:val="9"/>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乙方何时可以公开保密信息，以及向谁公开</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乙方可能会将甲方的保密信息透露给那些为提供乙方的服务需要知道这些信息的乙方员工或承包人。此外，相关认可机构也可能会要求乙方提供一定的保密资料。乙方将确保乙方的员工、承包商及相关认可机构都遵守与此相似的保密义务。除此以外，乙方还可能会依照法院、政府或监管机构的命令，或者依照法律的规定而披露上述保密信息。</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甲方的义务和权利</w:t>
      </w:r>
    </w:p>
    <w:p>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始终遵守认证的有关规定，向乙方提供相应的认证申请资料且保证提供的信息真实完整有效，甲方</w:t>
      </w:r>
    </w:p>
    <w:p>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提交的申请材料及乙方合同评审文件是本合同的补充内容，与本合同具有同等法律效力。当甲方与认证体系相关的信息发生重大变化时，应及时向乙方通报，由乙方按规定决定是否重新进行审核或变更注册资格。</w:t>
      </w:r>
    </w:p>
    <w:p>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按约定向乙方支付费用。</w:t>
      </w:r>
    </w:p>
    <w:p>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在初次认证审核时应提供至少最近三个月的体系运行的真实有效证据。能源管理系统不少于6个月   </w:t>
      </w:r>
    </w:p>
    <w:p>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并且该运行应充分、有效。</w:t>
      </w:r>
    </w:p>
    <w:p>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提供审核所需的工作条件。</w:t>
      </w:r>
    </w:p>
    <w:p>
      <w:pPr>
        <w:spacing w:afterLines="50" w:line="276" w:lineRule="auto"/>
        <w:ind w:left="567" w:leftChars="270"/>
        <w:rPr>
          <w:rFonts w:ascii="宋体" w:hAnsi="宋体"/>
          <w:szCs w:val="21"/>
        </w:rPr>
      </w:pPr>
      <w:r>
        <w:rPr>
          <w:rFonts w:hint="eastAsia" w:asciiTheme="minorEastAsia" w:hAnsiTheme="minorEastAsia" w:cstheme="minorEastAsia"/>
          <w:szCs w:val="21"/>
        </w:rPr>
        <w:t>获证后应持续有效运行相关管理体系，应按规定正确使用认证证书和认证标志，以及正确对外广告宣传其获得管理体系认证注册资格或认证结果，不擅自利用管理体系认证证书和相关文字、符号误导公众认为产品或服务通过认证，不损害认证机构的声誉，认证证书、认证标志的使用见乙方《获证组织须知》所述。通过认证后，因故被暂停/撤销认证注册资格时，应停止使用认证证书、认证标志及有关认证宣传。甲方承诺正确</w:t>
      </w:r>
      <w:r>
        <w:rPr>
          <w:rFonts w:hint="eastAsia" w:ascii="宋体" w:hAnsi="宋体"/>
          <w:szCs w:val="21"/>
        </w:rPr>
        <w:t>使用认证证书、认证标准和有关信息。</w:t>
      </w:r>
    </w:p>
    <w:p>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甲方承诺遵守认证认可相关法律法规，协助国家、认证监管部门的监督检查，对有关事项的询问和  </w:t>
      </w:r>
    </w:p>
    <w:p>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调查如实提供相关材料和信息。</w:t>
      </w:r>
    </w:p>
    <w:p>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在证书有效期内，甲方发生下列情况之一者，应及时通报乙方，乙方视甲方通报的变更信息情况采 </w:t>
      </w:r>
    </w:p>
    <w:p>
      <w:pPr>
        <w:spacing w:afterLines="50"/>
        <w:ind w:left="735" w:leftChars="350"/>
        <w:rPr>
          <w:rFonts w:asciiTheme="minorEastAsia" w:hAnsiTheme="minorEastAsia" w:cstheme="minorEastAsia"/>
          <w:szCs w:val="21"/>
        </w:rPr>
      </w:pPr>
      <w:r>
        <w:rPr>
          <w:rFonts w:hint="eastAsia" w:asciiTheme="minorEastAsia" w:hAnsiTheme="minorEastAsia" w:cstheme="minorEastAsia"/>
          <w:szCs w:val="21"/>
        </w:rPr>
        <w:t>取相应的措施（包括调整监督审核时间、方式和内容、暂停或撤销认证证书等）：</w:t>
      </w:r>
    </w:p>
    <w:p>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6.1体系的重大变更，包括：</w:t>
      </w:r>
    </w:p>
    <w:p>
      <w:pPr>
        <w:ind w:firstLine="424" w:firstLineChars="202"/>
        <w:rPr>
          <w:rFonts w:asciiTheme="minorEastAsia" w:hAnsiTheme="minorEastAsia" w:cstheme="minorEastAsia"/>
          <w:szCs w:val="21"/>
        </w:rPr>
      </w:pPr>
      <w:r>
        <w:rPr>
          <w:rFonts w:hint="eastAsia" w:asciiTheme="minorEastAsia" w:hAnsiTheme="minorEastAsia" w:cstheme="minorEastAsia"/>
          <w:szCs w:val="21"/>
        </w:rPr>
        <w:t>a）法律地位、生产经营状况、组织状态或所有权变更；</w:t>
      </w:r>
    </w:p>
    <w:p>
      <w:pPr>
        <w:ind w:firstLine="424" w:firstLineChars="202"/>
        <w:rPr>
          <w:rFonts w:asciiTheme="minorEastAsia" w:hAnsiTheme="minorEastAsia" w:cstheme="minorEastAsia"/>
          <w:szCs w:val="21"/>
        </w:rPr>
      </w:pPr>
      <w:r>
        <w:rPr>
          <w:rFonts w:hint="eastAsia" w:asciiTheme="minorEastAsia" w:hAnsiTheme="minorEastAsia" w:cstheme="minorEastAsia"/>
          <w:szCs w:val="21"/>
        </w:rPr>
        <w:t>b）取得的行政许可资质、强制性认证或其他资质证书变更；</w:t>
      </w:r>
    </w:p>
    <w:p>
      <w:pPr>
        <w:ind w:firstLine="424" w:firstLineChars="202"/>
        <w:rPr>
          <w:rFonts w:asciiTheme="minorEastAsia" w:hAnsiTheme="minorEastAsia" w:cstheme="minorEastAsia"/>
          <w:szCs w:val="21"/>
        </w:rPr>
      </w:pPr>
      <w:r>
        <w:rPr>
          <w:rFonts w:hint="eastAsia" w:asciiTheme="minorEastAsia" w:hAnsiTheme="minorEastAsia" w:cstheme="minorEastAsia"/>
          <w:szCs w:val="21"/>
        </w:rPr>
        <w:t>c）法定代表人、最高管理者；</w:t>
      </w:r>
    </w:p>
    <w:p>
      <w:pPr>
        <w:ind w:firstLine="424" w:firstLineChars="202"/>
        <w:rPr>
          <w:rFonts w:asciiTheme="minorEastAsia" w:hAnsiTheme="minorEastAsia" w:cstheme="minorEastAsia"/>
          <w:szCs w:val="21"/>
        </w:rPr>
      </w:pPr>
      <w:r>
        <w:rPr>
          <w:rFonts w:hint="eastAsia" w:asciiTheme="minorEastAsia" w:hAnsiTheme="minorEastAsia" w:cstheme="minorEastAsia"/>
          <w:szCs w:val="21"/>
        </w:rPr>
        <w:t>d）生产经营或服务的工作场所变更；</w:t>
      </w:r>
    </w:p>
    <w:p>
      <w:pPr>
        <w:ind w:firstLine="424" w:firstLineChars="202"/>
        <w:rPr>
          <w:rFonts w:asciiTheme="minorEastAsia" w:hAnsiTheme="minorEastAsia" w:cstheme="minorEastAsia"/>
          <w:szCs w:val="21"/>
        </w:rPr>
      </w:pPr>
      <w:r>
        <w:rPr>
          <w:rFonts w:hint="eastAsia" w:asciiTheme="minorEastAsia" w:hAnsiTheme="minorEastAsia" w:cstheme="minorEastAsia"/>
          <w:szCs w:val="21"/>
        </w:rPr>
        <w:t xml:space="preserve">e）管理体系覆盖的生产或服务活动范围、体系覆盖人数及管理体系和重要过程的重大变更等。 </w:t>
      </w:r>
    </w:p>
    <w:p>
      <w:pPr>
        <w:spacing w:beforeLines="50"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6.2发生与相应管理体系有关的产品和服务的事故。</w:t>
      </w:r>
    </w:p>
    <w:p>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6.3顾客/相关方重大投诉。</w:t>
      </w:r>
    </w:p>
    <w:p>
      <w:pPr>
        <w:spacing w:afterLines="50"/>
        <w:ind w:left="629" w:leftChars="203" w:hanging="203" w:hangingChars="97"/>
        <w:rPr>
          <w:rFonts w:asciiTheme="minorEastAsia" w:hAnsiTheme="minorEastAsia" w:cstheme="minorEastAsia"/>
          <w:szCs w:val="21"/>
        </w:rPr>
      </w:pPr>
      <w:r>
        <w:rPr>
          <w:rFonts w:hint="eastAsia" w:asciiTheme="minorEastAsia" w:hAnsiTheme="minorEastAsia" w:cstheme="minorEastAsia"/>
          <w:szCs w:val="21"/>
        </w:rPr>
        <w:t>6.4生产、销售的产品或提供的服务，不符合法定要求以及被质量或产品监管部门认定不合格。</w:t>
      </w:r>
    </w:p>
    <w:p>
      <w:pPr>
        <w:spacing w:afterLines="50"/>
        <w:ind w:firstLine="424" w:firstLineChars="202"/>
        <w:rPr>
          <w:rFonts w:asciiTheme="minorEastAsia" w:hAnsiTheme="minorEastAsia" w:cstheme="minorEastAsia"/>
          <w:szCs w:val="21"/>
        </w:rPr>
      </w:pPr>
      <w:r>
        <w:rPr>
          <w:rFonts w:hint="eastAsia" w:asciiTheme="minorEastAsia" w:hAnsiTheme="minorEastAsia" w:cstheme="minorEastAsia"/>
          <w:szCs w:val="21"/>
        </w:rPr>
        <w:t xml:space="preserve">6.5出现其他影响管理体系运行的重要情况。 </w:t>
      </w:r>
    </w:p>
    <w:p>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在证书有效期内，接受并配合乙方的监督审核/特殊审核及按规定缴纳审核费用。</w:t>
      </w:r>
    </w:p>
    <w:p>
      <w:pPr>
        <w:numPr>
          <w:ilvl w:val="0"/>
          <w:numId w:val="10"/>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对乙方不规范的认证行为有权向认监委、认可委、认可协会提出申诉和投诉。</w:t>
      </w:r>
    </w:p>
    <w:p>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遵守认证认可相关法律法规，协助认证监管部门的监督监查，对有关事项的询问和调查如实提供             </w:t>
      </w:r>
    </w:p>
    <w:p>
      <w:pPr>
        <w:spacing w:afterLines="50"/>
        <w:ind w:left="420" w:firstLine="210" w:firstLineChars="100"/>
        <w:rPr>
          <w:rFonts w:asciiTheme="minorEastAsia" w:hAnsiTheme="minorEastAsia" w:cstheme="minorEastAsia"/>
          <w:szCs w:val="21"/>
        </w:rPr>
      </w:pPr>
      <w:r>
        <w:rPr>
          <w:rFonts w:hint="eastAsia" w:asciiTheme="minorEastAsia" w:hAnsiTheme="minorEastAsia" w:cstheme="minorEastAsia"/>
          <w:szCs w:val="21"/>
        </w:rPr>
        <w:t>相关材料和信息。</w:t>
      </w:r>
    </w:p>
    <w:p>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无条件接受并配合</w:t>
      </w:r>
      <w:r>
        <w:rPr>
          <w:rFonts w:hint="eastAsia" w:ascii="宋体" w:hAnsi="宋体"/>
          <w:szCs w:val="21"/>
        </w:rPr>
        <w:t>认可机构，如;</w:t>
      </w:r>
      <w:r>
        <w:rPr>
          <w:rFonts w:hint="eastAsia" w:asciiTheme="minorEastAsia" w:hAnsiTheme="minorEastAsia" w:cstheme="minorEastAsia"/>
          <w:szCs w:val="21"/>
        </w:rPr>
        <w:t>中国合格评定认可委员会</w:t>
      </w:r>
      <w:r>
        <w:rPr>
          <w:rFonts w:hint="eastAsia" w:ascii="宋体" w:hAnsi="宋体"/>
          <w:szCs w:val="21"/>
        </w:rPr>
        <w:t>、监管机构及</w:t>
      </w:r>
      <w:r>
        <w:rPr>
          <w:rFonts w:hint="eastAsia" w:asciiTheme="minorEastAsia" w:hAnsiTheme="minorEastAsia" w:cstheme="minorEastAsia"/>
          <w:szCs w:val="21"/>
        </w:rPr>
        <w:t>乙方安排实施的</w:t>
      </w:r>
      <w:r>
        <w:rPr>
          <w:rFonts w:hint="eastAsia" w:ascii="宋体" w:hAnsi="宋体"/>
          <w:szCs w:val="21"/>
        </w:rPr>
        <w:t xml:space="preserve">见证评审 </w:t>
      </w:r>
    </w:p>
    <w:p>
      <w:pPr>
        <w:spacing w:afterLines="50"/>
        <w:ind w:left="840" w:leftChars="400"/>
        <w:rPr>
          <w:rFonts w:asciiTheme="minorEastAsia" w:hAnsiTheme="minorEastAsia" w:cstheme="minorEastAsia"/>
          <w:szCs w:val="21"/>
        </w:rPr>
      </w:pPr>
      <w:r>
        <w:rPr>
          <w:rFonts w:hint="eastAsia" w:ascii="宋体" w:hAnsi="宋体"/>
          <w:szCs w:val="21"/>
        </w:rPr>
        <w:t>和或确认审核、非例行的临时调查（稽查审核），</w:t>
      </w:r>
      <w:r>
        <w:rPr>
          <w:rFonts w:hint="eastAsia" w:asciiTheme="minorEastAsia" w:hAnsiTheme="minorEastAsia" w:cstheme="minorEastAsia"/>
          <w:szCs w:val="21"/>
        </w:rPr>
        <w:t>如无正当理由拒不接受见证审核和/或确认审核的，乙方</w:t>
      </w:r>
      <w:r>
        <w:rPr>
          <w:rFonts w:hint="eastAsia" w:ascii="宋体" w:hAnsi="宋体"/>
          <w:szCs w:val="21"/>
        </w:rPr>
        <w:t>有权</w:t>
      </w:r>
      <w:r>
        <w:rPr>
          <w:rFonts w:hint="eastAsia" w:asciiTheme="minorEastAsia" w:hAnsiTheme="minorEastAsia" w:cstheme="minorEastAsia"/>
          <w:szCs w:val="21"/>
        </w:rPr>
        <w:t>将对其做出相应处理，</w:t>
      </w:r>
      <w:r>
        <w:rPr>
          <w:rFonts w:hint="eastAsia" w:ascii="宋体" w:hAnsi="宋体"/>
          <w:szCs w:val="21"/>
        </w:rPr>
        <w:t>包括暂停或撤消其认证注册资格。</w:t>
      </w:r>
    </w:p>
    <w:p>
      <w:pPr>
        <w:numPr>
          <w:ilvl w:val="0"/>
          <w:numId w:val="10"/>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持续履行管理体系认证要求，在收到乙方关于认证要求变更的通知后，应在规定的时间内根据乙 </w:t>
      </w:r>
    </w:p>
    <w:p>
      <w:pPr>
        <w:spacing w:afterLines="50"/>
        <w:ind w:left="840" w:leftChars="400"/>
        <w:rPr>
          <w:rFonts w:asciiTheme="minorEastAsia" w:hAnsiTheme="minorEastAsia" w:cstheme="minorEastAsia"/>
          <w:szCs w:val="21"/>
        </w:rPr>
      </w:pPr>
      <w:r>
        <w:rPr>
          <w:rFonts w:hint="eastAsia" w:asciiTheme="minorEastAsia" w:hAnsiTheme="minorEastAsia" w:cstheme="minorEastAsia"/>
          <w:szCs w:val="21"/>
        </w:rPr>
        <w:t>方的要求实施变更，并接受乙方的变更审核，如不能在规定时间内完成相应变更，将会导致认证资格的暂停或撤销。</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乙方的义务和权利</w:t>
      </w:r>
    </w:p>
    <w:p>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严格遵守国家有关体系认证的法律法规，客观、公正地为甲方提供认证服务。</w:t>
      </w:r>
    </w:p>
    <w:p>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向甲方提供公开性文件。 </w:t>
      </w:r>
    </w:p>
    <w:p>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当认证认可法规、认证标准发生变化时及时通知甲方。</w:t>
      </w:r>
    </w:p>
    <w:p>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如甲方无正当理由，在审核过程中提出终止审核，乙方有权要求甲方支付全部费用。</w:t>
      </w:r>
    </w:p>
    <w:p>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公布获证组织的获准、暂停、恢复、注销、撤销认证资格状态。</w:t>
      </w:r>
    </w:p>
    <w:p>
      <w:pPr>
        <w:numPr>
          <w:ilvl w:val="0"/>
          <w:numId w:val="11"/>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遵守公正性与保密声明。</w:t>
      </w:r>
    </w:p>
    <w:p>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如甲方的管理体系、产品质量不能得到充分的信任，乙方有权增加监督审核频次或进行不预先通知 </w:t>
      </w:r>
    </w:p>
    <w:p>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的特殊审核。</w:t>
      </w:r>
    </w:p>
    <w:p>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甲方获证后如不再满足认证要求或不能持续符合标准要求和乙方的规定要求或不按时接受监督审 </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核和/或不按时支付年金和监督审核费，乙方有权暂停、撤销甲方的认证注册资格并公告，并要求甲方停止使用认证证书和认证标志。</w:t>
      </w:r>
    </w:p>
    <w:p>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认证证书和认证标识是乙方的知识产权，若甲方未按相关法规要求使用证书和标志，乙方有权通过 </w:t>
      </w:r>
    </w:p>
    <w:p>
      <w:pPr>
        <w:spacing w:afterLines="50"/>
        <w:ind w:left="420"/>
        <w:rPr>
          <w:rFonts w:asciiTheme="minorEastAsia" w:hAnsiTheme="minorEastAsia" w:cstheme="minorEastAsia"/>
          <w:szCs w:val="21"/>
        </w:rPr>
      </w:pPr>
      <w:r>
        <w:rPr>
          <w:rFonts w:hint="eastAsia" w:asciiTheme="minorEastAsia" w:hAnsiTheme="minorEastAsia" w:cstheme="minorEastAsia"/>
          <w:szCs w:val="21"/>
        </w:rPr>
        <w:t>法律手段要求甲方进行赔偿（赔偿金为5倍认证合同金额）。</w:t>
      </w:r>
    </w:p>
    <w:p>
      <w:pPr>
        <w:numPr>
          <w:ilvl w:val="0"/>
          <w:numId w:val="11"/>
        </w:numPr>
        <w:ind w:firstLine="420" w:firstLineChars="200"/>
        <w:rPr>
          <w:rFonts w:asciiTheme="minorEastAsia" w:hAnsiTheme="minorEastAsia" w:cstheme="minorEastAsia"/>
          <w:szCs w:val="21"/>
        </w:rPr>
      </w:pPr>
      <w:r>
        <w:rPr>
          <w:rFonts w:hint="eastAsia" w:asciiTheme="minorEastAsia" w:hAnsiTheme="minorEastAsia" w:cstheme="minorEastAsia"/>
          <w:szCs w:val="21"/>
        </w:rPr>
        <w:t>乙方在审核期间或甲方获证后收集到甲方有发生导致监管机构介入的严重事件或违法情况，乙方</w:t>
      </w:r>
    </w:p>
    <w:p>
      <w:pPr>
        <w:spacing w:afterLines="50"/>
        <w:ind w:left="420"/>
        <w:rPr>
          <w:rFonts w:asciiTheme="minorEastAsia" w:hAnsiTheme="minorEastAsia" w:cstheme="minorEastAsia"/>
          <w:szCs w:val="21"/>
        </w:rPr>
      </w:pPr>
      <w:r>
        <w:rPr>
          <w:rFonts w:hint="eastAsia" w:asciiTheme="minorEastAsia" w:hAnsiTheme="minorEastAsia" w:cstheme="minorEastAsia"/>
          <w:szCs w:val="21"/>
        </w:rPr>
        <w:t>有权对甲方的认证资格进行暂停或撤销处理。</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风险责任的承担</w:t>
      </w:r>
    </w:p>
    <w:p>
      <w:pPr>
        <w:numPr>
          <w:ilvl w:val="0"/>
          <w:numId w:val="12"/>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甲方如达不到或不能保持认证要求和条件，承担不能取得认证证书或不能保持证书的风险；</w:t>
      </w:r>
    </w:p>
    <w:p>
      <w:pPr>
        <w:numPr>
          <w:ilvl w:val="0"/>
          <w:numId w:val="12"/>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甲方获证后可能因达不到认证时的条件或不符合认证有关法律法规的规定,将承担被乙方暂停、撤   </w:t>
      </w:r>
    </w:p>
    <w:p>
      <w:pPr>
        <w:spacing w:afterLines="50"/>
        <w:ind w:left="420"/>
        <w:rPr>
          <w:rFonts w:asciiTheme="minorEastAsia" w:hAnsiTheme="minorEastAsia" w:cstheme="minorEastAsia"/>
          <w:szCs w:val="21"/>
        </w:rPr>
      </w:pPr>
      <w:r>
        <w:rPr>
          <w:rFonts w:hint="eastAsia" w:asciiTheme="minorEastAsia" w:hAnsiTheme="minorEastAsia" w:cstheme="minorEastAsia"/>
          <w:szCs w:val="21"/>
        </w:rPr>
        <w:t>销使用认证证书和认证标识的风险；暂停期内及撤销认证资格时,立即停止使用证书和所有引用认证资格的宣传，证书撤销时应立即将证书交还乙方。</w:t>
      </w:r>
    </w:p>
    <w:p>
      <w:pPr>
        <w:numPr>
          <w:ilvl w:val="0"/>
          <w:numId w:val="12"/>
        </w:num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甲方合同期内隐瞒重要信息、提供虚假信息可能导致被撤销证书的风险。</w:t>
      </w:r>
    </w:p>
    <w:p>
      <w:pPr>
        <w:numPr>
          <w:ilvl w:val="0"/>
          <w:numId w:val="12"/>
        </w:numPr>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乙方可能因甲方获证后管理体系失效、产品/服务质量严重下滑和发生质量事故而引起顾客不满意， </w:t>
      </w:r>
    </w:p>
    <w:p>
      <w:pPr>
        <w:spacing w:afterLines="50"/>
        <w:ind w:left="420"/>
        <w:rPr>
          <w:rFonts w:asciiTheme="minorEastAsia" w:hAnsiTheme="minorEastAsia" w:cstheme="minorEastAsia"/>
          <w:szCs w:val="21"/>
        </w:rPr>
      </w:pPr>
      <w:r>
        <w:rPr>
          <w:rFonts w:hint="eastAsia" w:asciiTheme="minorEastAsia" w:hAnsiTheme="minorEastAsia" w:cstheme="minorEastAsia"/>
          <w:szCs w:val="21"/>
        </w:rPr>
        <w:t>将承担被顾客投诉乃至被国家认可委暂停、撤销认可资格的风险。</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合同的终止及违约责任</w:t>
      </w:r>
    </w:p>
    <w:p>
      <w:pPr>
        <w:spacing w:afterLines="50"/>
        <w:ind w:left="424" w:leftChars="202"/>
        <w:rPr>
          <w:rFonts w:asciiTheme="minorEastAsia" w:hAnsiTheme="minorEastAsia" w:cstheme="minorEastAsia"/>
          <w:szCs w:val="21"/>
        </w:rPr>
      </w:pPr>
      <w:r>
        <w:rPr>
          <w:rFonts w:hint="eastAsia" w:asciiTheme="minorEastAsia" w:hAnsiTheme="minorEastAsia" w:cstheme="minorEastAsia"/>
          <w:szCs w:val="21"/>
        </w:rPr>
        <w:t>12.1双方都可以正常终止合同的情形</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在本合同生效后, 任何一方欲终止履行本合同须至少提前60个工作日与另一方协商，待双方以书面形式就有关终止事宜达成共识并正式认可后，本合同的终止方为有效。</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12.2 如一方未经另一方书面同意认可单方不履行本合同或者终止履行本合同时，则应向对方支付￥10,000（壹万元整）作为违约赔偿金。</w:t>
      </w:r>
    </w:p>
    <w:p>
      <w:pPr>
        <w:spacing w:afterLines="50"/>
        <w:ind w:left="420" w:leftChars="200"/>
        <w:rPr>
          <w:rFonts w:asciiTheme="minorEastAsia" w:hAnsiTheme="minorEastAsia" w:cstheme="minorEastAsia"/>
          <w:szCs w:val="21"/>
        </w:rPr>
      </w:pPr>
      <w:r>
        <w:rPr>
          <w:rFonts w:hint="eastAsia" w:asciiTheme="minorEastAsia" w:hAnsiTheme="minorEastAsia" w:cstheme="minorEastAsia"/>
          <w:szCs w:val="21"/>
        </w:rPr>
        <w:t>12.3 任何一方都可以立即终止合同的情形，出现以下情形，任何一方均可以立即通知对方终止合同：</w:t>
      </w:r>
    </w:p>
    <w:p>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a）另一方不能或中止偿还债务</w:t>
      </w:r>
    </w:p>
    <w:p>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b）另一方向其债权人提出重新调整债务偿还时间</w:t>
      </w:r>
    </w:p>
    <w:p>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c）另一方采取任何与清算或委派管理人员或政府接管人员相关的行动</w:t>
      </w:r>
    </w:p>
    <w:p>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d）其他人有权采取或已经采取了扣押或占有另一方的任何财产的行为</w:t>
      </w:r>
    </w:p>
    <w:p>
      <w:pPr>
        <w:spacing w:afterLines="50"/>
        <w:ind w:firstLine="840" w:firstLineChars="400"/>
        <w:rPr>
          <w:rFonts w:asciiTheme="minorEastAsia" w:hAnsiTheme="minorEastAsia" w:cstheme="minorEastAsia"/>
          <w:szCs w:val="21"/>
        </w:rPr>
      </w:pPr>
      <w:r>
        <w:rPr>
          <w:rFonts w:hint="eastAsia" w:asciiTheme="minorEastAsia" w:hAnsiTheme="minorEastAsia" w:cstheme="minorEastAsia"/>
          <w:szCs w:val="21"/>
        </w:rPr>
        <w:t>e) 在签署合同时已经停止其正在进行的业务</w:t>
      </w:r>
    </w:p>
    <w:p>
      <w:pPr>
        <w:spacing w:afterLines="50"/>
        <w:ind w:left="426"/>
        <w:rPr>
          <w:rFonts w:asciiTheme="minorEastAsia" w:hAnsiTheme="minorEastAsia" w:cstheme="minorEastAsia"/>
          <w:szCs w:val="21"/>
        </w:rPr>
      </w:pPr>
      <w:r>
        <w:rPr>
          <w:rFonts w:hint="eastAsia" w:asciiTheme="minorEastAsia" w:hAnsiTheme="minorEastAsia" w:cstheme="minorEastAsia"/>
          <w:szCs w:val="21"/>
        </w:rPr>
        <w:t>12.4 由NICC立即解除合同且无需通知的情形</w:t>
      </w:r>
    </w:p>
    <w:p>
      <w:pPr>
        <w:spacing w:afterLines="50"/>
        <w:ind w:left="426" w:firstLine="420" w:firstLineChars="200"/>
        <w:rPr>
          <w:rFonts w:asciiTheme="minorEastAsia" w:hAnsiTheme="minorEastAsia" w:cstheme="minorEastAsia"/>
          <w:szCs w:val="21"/>
        </w:rPr>
      </w:pPr>
      <w:r>
        <w:rPr>
          <w:rFonts w:hint="eastAsia" w:asciiTheme="minorEastAsia" w:hAnsiTheme="minorEastAsia" w:cstheme="minorEastAsia"/>
          <w:szCs w:val="21"/>
        </w:rPr>
        <w:t>乙方可能会终止本协议，如果：</w:t>
      </w:r>
    </w:p>
    <w:p>
      <w:pPr>
        <w:spacing w:afterLines="50"/>
        <w:ind w:left="426" w:firstLine="840" w:firstLineChars="400"/>
        <w:rPr>
          <w:rFonts w:asciiTheme="minorEastAsia" w:hAnsiTheme="minorEastAsia" w:cstheme="minorEastAsia"/>
          <w:szCs w:val="21"/>
        </w:rPr>
      </w:pPr>
      <w:r>
        <w:rPr>
          <w:rFonts w:hint="eastAsia" w:asciiTheme="minorEastAsia" w:hAnsiTheme="minorEastAsia" w:cstheme="minorEastAsia"/>
          <w:szCs w:val="21"/>
        </w:rPr>
        <w:t>a）甲方未能遵守第七条要求甲方履行的义务</w:t>
      </w:r>
    </w:p>
    <w:p>
      <w:pPr>
        <w:spacing w:afterLines="50"/>
        <w:ind w:left="426" w:firstLine="840" w:firstLineChars="400"/>
        <w:rPr>
          <w:rFonts w:asciiTheme="minorEastAsia" w:hAnsiTheme="minorEastAsia" w:cstheme="minorEastAsia"/>
          <w:szCs w:val="21"/>
        </w:rPr>
      </w:pPr>
      <w:r>
        <w:rPr>
          <w:rFonts w:hint="eastAsia" w:asciiTheme="minorEastAsia" w:hAnsiTheme="minorEastAsia" w:cstheme="minorEastAsia"/>
          <w:szCs w:val="21"/>
        </w:rPr>
        <w:t>b) 乙方已经通知甲方应支付的费用已经超期并向甲方主张支付后仍然未能支付。</w:t>
      </w:r>
    </w:p>
    <w:p>
      <w:pPr>
        <w:spacing w:afterLines="50" w:line="276" w:lineRule="auto"/>
        <w:ind w:left="426" w:leftChars="-177" w:hanging="798" w:hangingChars="380"/>
      </w:pPr>
      <w:r>
        <w:rPr>
          <w:rFonts w:hint="eastAsia" w:asciiTheme="minorEastAsia" w:hAnsiTheme="minorEastAsia" w:cstheme="minorEastAsia"/>
          <w:szCs w:val="21"/>
        </w:rPr>
        <w:t xml:space="preserve">     12.5 </w:t>
      </w:r>
      <w:r>
        <w:rPr>
          <w:rFonts w:hint="eastAsia" w:ascii="宋体" w:hAnsi="宋体" w:cs="宋体"/>
          <w:kern w:val="0"/>
          <w:szCs w:val="21"/>
        </w:rPr>
        <w:t>甲方要承担因故意或过失提供不真实、不完整的信息、弄虚作假所造成的全部后果，包括少报瞒报企业人数，该后果但不限于按国家及行业有关规定追加审核人日及认证费用、由此造成的甲方的经济及非经济损失、任何第三方对乙方采取相应措施给乙方所造成的所有经济损失、名誉损失。</w:t>
      </w:r>
    </w:p>
    <w:p>
      <w:pPr>
        <w:spacing w:afterLines="50"/>
        <w:ind w:firstLine="210" w:firstLineChars="100"/>
        <w:rPr>
          <w:rFonts w:asciiTheme="minorEastAsia" w:hAnsiTheme="minorEastAsia" w:cstheme="minorEastAsia"/>
          <w:szCs w:val="21"/>
        </w:rPr>
      </w:pPr>
      <w:r>
        <w:rPr>
          <w:rFonts w:hint="eastAsia" w:asciiTheme="minorEastAsia" w:hAnsiTheme="minorEastAsia" w:cstheme="minorEastAsia"/>
          <w:szCs w:val="21"/>
        </w:rPr>
        <w:t>12.6 合同终止的影响</w:t>
      </w:r>
    </w:p>
    <w:p>
      <w:pPr>
        <w:spacing w:afterLines="50"/>
        <w:ind w:left="493" w:leftChars="235"/>
        <w:rPr>
          <w:rFonts w:asciiTheme="minorEastAsia" w:hAnsiTheme="minorEastAsia" w:cstheme="minorEastAsia"/>
          <w:szCs w:val="21"/>
        </w:rPr>
      </w:pPr>
      <w:r>
        <w:rPr>
          <w:rFonts w:hint="eastAsia" w:asciiTheme="minorEastAsia" w:hAnsiTheme="minorEastAsia" w:cstheme="minorEastAsia"/>
          <w:szCs w:val="21"/>
        </w:rPr>
        <w:t>一旦合同终止，乙方对甲方的认证将立即取消。甲方应返还认证证书、审核报告及其他随同证书一起交给甲方的所有书面文件。甲方应当将所有与NICC相关的字样以及NICC认证标志从甲方场所及其他材料上撤掉。乙方会要求甲方确认甲方已经撤掉了所有字样并会就此种情形向甲方发送信函。所有甲方支付给乙方的费用都不予退还。</w:t>
      </w:r>
    </w:p>
    <w:p>
      <w:pPr>
        <w:spacing w:afterLines="50"/>
        <w:ind w:left="420" w:leftChars="100" w:hanging="210" w:hangingChars="100"/>
        <w:rPr>
          <w:rFonts w:asciiTheme="minorEastAsia" w:hAnsiTheme="minorEastAsia" w:cstheme="minorEastAsia"/>
          <w:szCs w:val="21"/>
        </w:rPr>
      </w:pPr>
      <w:r>
        <w:rPr>
          <w:rFonts w:hint="eastAsia" w:asciiTheme="minorEastAsia" w:hAnsiTheme="minorEastAsia" w:cstheme="minorEastAsia"/>
          <w:szCs w:val="21"/>
        </w:rPr>
        <w:t>12.7在履行本合同过程中发生的争议，如双方和解或调解不成，双方约定向乙方所在地（沈阳市自贸区）人民法院提起诉讼。</w:t>
      </w:r>
    </w:p>
    <w:p>
      <w:pPr>
        <w:numPr>
          <w:ilvl w:val="0"/>
          <w:numId w:val="4"/>
        </w:numPr>
        <w:spacing w:afterLines="50"/>
        <w:rPr>
          <w:rFonts w:asciiTheme="minorEastAsia" w:hAnsiTheme="minorEastAsia" w:cstheme="minorEastAsia"/>
          <w:b/>
          <w:bCs/>
          <w:szCs w:val="21"/>
        </w:rPr>
      </w:pPr>
      <w:r>
        <w:rPr>
          <w:rFonts w:hint="eastAsia" w:asciiTheme="minorEastAsia" w:hAnsiTheme="minorEastAsia" w:cstheme="minorEastAsia"/>
          <w:b/>
          <w:bCs/>
          <w:szCs w:val="21"/>
        </w:rPr>
        <w:t>法律</w:t>
      </w:r>
    </w:p>
    <w:p>
      <w:pPr>
        <w:spacing w:afterLines="50"/>
        <w:ind w:firstLine="420" w:firstLineChars="200"/>
        <w:rPr>
          <w:rFonts w:asciiTheme="minorEastAsia" w:hAnsiTheme="minorEastAsia" w:cstheme="minorEastAsia"/>
          <w:szCs w:val="21"/>
        </w:rPr>
      </w:pPr>
      <w:r>
        <w:rPr>
          <w:rFonts w:hint="eastAsia" w:asciiTheme="minorEastAsia" w:hAnsiTheme="minorEastAsia" w:cstheme="minorEastAsia"/>
          <w:szCs w:val="21"/>
        </w:rPr>
        <w:t>本合同适用中华人民共和国法律,双方同意中华人民共和国法院具有专属管辖权。</w:t>
      </w:r>
    </w:p>
    <w:p>
      <w:pPr>
        <w:spacing w:afterLines="50"/>
        <w:ind w:firstLine="420" w:firstLineChars="200"/>
        <w:rPr>
          <w:rFonts w:asciiTheme="minorEastAsia" w:hAnsiTheme="minorEastAsia" w:cstheme="minorEastAsia"/>
          <w:szCs w:val="20"/>
        </w:rPr>
      </w:pPr>
      <w:r>
        <w:rPr>
          <w:rFonts w:hint="eastAsia" w:asciiTheme="minorEastAsia" w:hAnsiTheme="minorEastAsia" w:cstheme="minorEastAsia"/>
          <w:szCs w:val="21"/>
        </w:rPr>
        <w:t>本合同于辽宁中正信合检测认证有限公司的法定住址处签订，因本合同产生任何争议，任何一方均有权将该争议提交合同签订地人民法院以诉讼形式解决该争议。</w:t>
      </w:r>
    </w:p>
    <w:sectPr>
      <w:footerReference r:id="rId8"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New Gulim">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pict>
        <v:shape id="_x0000_s1027" o:spid="_x0000_s1027"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8" o:spid="_x0000_s1028"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7</w:t>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pict>
        <v:shape id="_x0000_s1025" o:spid="_x0000_s1025"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5"/>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rPr>
                  <w:t>7</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Tahoma" w:hAnsi="Tahoma" w:cs="Tahoma"/>
        <w:sz w:val="22"/>
        <w:szCs w:val="28"/>
        <w:lang w:eastAsia="en-GB"/>
      </w:rPr>
    </w:pPr>
    <w:r>
      <w:rPr>
        <w:b/>
        <w:color w:val="000099"/>
        <w:szCs w:val="21"/>
        <w:u w:val="single"/>
      </w:rPr>
      <w:drawing>
        <wp:inline distT="0" distB="0" distL="0" distR="0">
          <wp:extent cx="444500" cy="488950"/>
          <wp:effectExtent l="0" t="0" r="12700" b="635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1"/>
                  <a:srcRect l="23483" t="20096" r="25266" b="14352"/>
                  <a:stretch>
                    <a:fillRect/>
                  </a:stretch>
                </pic:blipFill>
                <pic:spPr>
                  <a:xfrm>
                    <a:off x="0" y="0"/>
                    <a:ext cx="444500" cy="488950"/>
                  </a:xfrm>
                  <a:prstGeom prst="rect">
                    <a:avLst/>
                  </a:prstGeom>
                  <a:noFill/>
                  <a:ln w="9525">
                    <a:noFill/>
                    <a:miter lim="800000"/>
                    <a:headEnd/>
                    <a:tailEnd/>
                  </a:ln>
                </pic:spPr>
              </pic:pic>
            </a:graphicData>
          </a:graphic>
        </wp:inline>
      </w:drawing>
    </w:r>
    <w:r>
      <w:rPr>
        <w:rFonts w:ascii="Calibri" w:hAnsi="Calibri" w:cs="Calibri"/>
        <w:b/>
        <w:color w:val="000099"/>
        <w:szCs w:val="21"/>
        <w:u w:val="single"/>
      </w:rPr>
      <w:t>Neutrality Impartiality Credit Cooperation</w:t>
    </w:r>
    <w:r>
      <w:rPr>
        <w:rFonts w:hint="eastAsia" w:ascii="微软雅黑" w:hAnsi="微软雅黑" w:eastAsia="微软雅黑"/>
        <w:sz w:val="18"/>
        <w:szCs w:val="18"/>
      </w:rPr>
      <w:t xml:space="preserve">     NICC-F-026 A/2 (2023)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Tahoma" w:hAnsi="Tahoma" w:cs="Tahoma"/>
        <w:sz w:val="22"/>
        <w:szCs w:val="28"/>
        <w:lang w:eastAsia="en-GB"/>
      </w:rPr>
    </w:pPr>
    <w:r>
      <w:rPr>
        <w:b/>
        <w:color w:val="000099"/>
        <w:szCs w:val="21"/>
        <w:u w:val="single"/>
      </w:rPr>
      <w:drawing>
        <wp:inline distT="0" distB="0" distL="0" distR="0">
          <wp:extent cx="444500" cy="488950"/>
          <wp:effectExtent l="0" t="0" r="12700" b="6350"/>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noChangeArrowheads="1"/>
                  </pic:cNvPicPr>
                </pic:nvPicPr>
                <pic:blipFill>
                  <a:blip r:embed="rId1"/>
                  <a:srcRect l="23483" t="20096" r="25266" b="14352"/>
                  <a:stretch>
                    <a:fillRect/>
                  </a:stretch>
                </pic:blipFill>
                <pic:spPr>
                  <a:xfrm>
                    <a:off x="0" y="0"/>
                    <a:ext cx="444500" cy="488950"/>
                  </a:xfrm>
                  <a:prstGeom prst="rect">
                    <a:avLst/>
                  </a:prstGeom>
                  <a:noFill/>
                  <a:ln w="9525">
                    <a:noFill/>
                    <a:miter lim="800000"/>
                    <a:headEnd/>
                    <a:tailEnd/>
                  </a:ln>
                </pic:spPr>
              </pic:pic>
            </a:graphicData>
          </a:graphic>
        </wp:inline>
      </w:drawing>
    </w:r>
    <w:r>
      <w:rPr>
        <w:rFonts w:ascii="Calibri" w:hAnsi="Calibri" w:cs="Calibri"/>
        <w:b/>
        <w:color w:val="000099"/>
        <w:szCs w:val="21"/>
        <w:u w:val="single"/>
      </w:rPr>
      <w:t>Neutrality Impartiality Credit Cooperation</w:t>
    </w:r>
    <w:r>
      <w:rPr>
        <w:rFonts w:hint="eastAsia" w:ascii="微软雅黑" w:hAnsi="微软雅黑" w:eastAsia="微软雅黑"/>
        <w:sz w:val="18"/>
        <w:szCs w:val="18"/>
      </w:rPr>
      <w:t xml:space="preserve">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NICC-F-026 A/2(2023)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4D69C"/>
    <w:multiLevelType w:val="singleLevel"/>
    <w:tmpl w:val="83E4D69C"/>
    <w:lvl w:ilvl="0" w:tentative="0">
      <w:start w:val="1"/>
      <w:numFmt w:val="decimal"/>
      <w:suff w:val="nothing"/>
      <w:lvlText w:val="%1．"/>
      <w:lvlJc w:val="left"/>
      <w:pPr>
        <w:ind w:left="0" w:firstLine="400"/>
      </w:pPr>
      <w:rPr>
        <w:rFonts w:hint="default"/>
      </w:rPr>
    </w:lvl>
  </w:abstractNum>
  <w:abstractNum w:abstractNumId="1">
    <w:nsid w:val="8AB4C623"/>
    <w:multiLevelType w:val="singleLevel"/>
    <w:tmpl w:val="8AB4C623"/>
    <w:lvl w:ilvl="0" w:tentative="0">
      <w:start w:val="1"/>
      <w:numFmt w:val="chineseCounting"/>
      <w:suff w:val="nothing"/>
      <w:lvlText w:val="%1、"/>
      <w:lvlJc w:val="left"/>
      <w:rPr>
        <w:rFonts w:hint="eastAsia"/>
        <w:b/>
        <w:bCs/>
      </w:rPr>
    </w:lvl>
  </w:abstractNum>
  <w:abstractNum w:abstractNumId="2">
    <w:nsid w:val="94F719BE"/>
    <w:multiLevelType w:val="singleLevel"/>
    <w:tmpl w:val="94F719BE"/>
    <w:lvl w:ilvl="0" w:tentative="0">
      <w:start w:val="1"/>
      <w:numFmt w:val="decimal"/>
      <w:suff w:val="nothing"/>
      <w:lvlText w:val="%1、"/>
      <w:lvlJc w:val="left"/>
    </w:lvl>
  </w:abstractNum>
  <w:abstractNum w:abstractNumId="3">
    <w:nsid w:val="E1321BC1"/>
    <w:multiLevelType w:val="singleLevel"/>
    <w:tmpl w:val="E1321BC1"/>
    <w:lvl w:ilvl="0" w:tentative="0">
      <w:start w:val="1"/>
      <w:numFmt w:val="decimal"/>
      <w:suff w:val="nothing"/>
      <w:lvlText w:val="%1、"/>
      <w:lvlJc w:val="left"/>
    </w:lvl>
  </w:abstractNum>
  <w:abstractNum w:abstractNumId="4">
    <w:nsid w:val="03CF0EE9"/>
    <w:multiLevelType w:val="singleLevel"/>
    <w:tmpl w:val="03CF0EE9"/>
    <w:lvl w:ilvl="0" w:tentative="0">
      <w:start w:val="1"/>
      <w:numFmt w:val="decimal"/>
      <w:suff w:val="nothing"/>
      <w:lvlText w:val="%1、"/>
      <w:lvlJc w:val="left"/>
    </w:lvl>
  </w:abstractNum>
  <w:abstractNum w:abstractNumId="5">
    <w:nsid w:val="19F86538"/>
    <w:multiLevelType w:val="multilevel"/>
    <w:tmpl w:val="19F86538"/>
    <w:lvl w:ilvl="0" w:tentative="0">
      <w:start w:val="6"/>
      <w:numFmt w:val="decimal"/>
      <w:lvlText w:val="%1"/>
      <w:lvlJc w:val="left"/>
      <w:pPr>
        <w:ind w:left="360" w:hanging="360"/>
      </w:pPr>
      <w:rPr>
        <w:rFonts w:hint="default"/>
      </w:rPr>
    </w:lvl>
    <w:lvl w:ilvl="1" w:tentative="0">
      <w:start w:val="2"/>
      <w:numFmt w:val="decimal"/>
      <w:lvlText w:val="%1.%2"/>
      <w:lvlJc w:val="left"/>
      <w:pPr>
        <w:ind w:left="928" w:hanging="360"/>
      </w:pPr>
      <w:rPr>
        <w:rFonts w:hint="default"/>
      </w:rPr>
    </w:lvl>
    <w:lvl w:ilvl="2" w:tentative="0">
      <w:start w:val="1"/>
      <w:numFmt w:val="decimal"/>
      <w:lvlText w:val="%1.%2.%3"/>
      <w:lvlJc w:val="left"/>
      <w:pPr>
        <w:ind w:left="1980" w:hanging="720"/>
      </w:pPr>
      <w:rPr>
        <w:rFonts w:hint="default"/>
      </w:rPr>
    </w:lvl>
    <w:lvl w:ilvl="3" w:tentative="0">
      <w:start w:val="1"/>
      <w:numFmt w:val="decimal"/>
      <w:lvlText w:val="%1.%2.%3.%4"/>
      <w:lvlJc w:val="left"/>
      <w:pPr>
        <w:ind w:left="2970" w:hanging="1080"/>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220" w:hanging="144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6840" w:hanging="1800"/>
      </w:pPr>
      <w:rPr>
        <w:rFonts w:hint="default"/>
      </w:rPr>
    </w:lvl>
  </w:abstractNum>
  <w:abstractNum w:abstractNumId="6">
    <w:nsid w:val="23C57308"/>
    <w:multiLevelType w:val="singleLevel"/>
    <w:tmpl w:val="23C57308"/>
    <w:lvl w:ilvl="0" w:tentative="0">
      <w:start w:val="1"/>
      <w:numFmt w:val="decimal"/>
      <w:suff w:val="space"/>
      <w:lvlText w:val="%1."/>
      <w:lvlJc w:val="left"/>
    </w:lvl>
  </w:abstractNum>
  <w:abstractNum w:abstractNumId="7">
    <w:nsid w:val="4EF53E1F"/>
    <w:multiLevelType w:val="singleLevel"/>
    <w:tmpl w:val="4EF53E1F"/>
    <w:lvl w:ilvl="0" w:tentative="0">
      <w:start w:val="1"/>
      <w:numFmt w:val="decimal"/>
      <w:suff w:val="nothing"/>
      <w:lvlText w:val="%1、"/>
      <w:lvlJc w:val="left"/>
    </w:lvl>
  </w:abstractNum>
  <w:abstractNum w:abstractNumId="8">
    <w:nsid w:val="4EFB691E"/>
    <w:multiLevelType w:val="singleLevel"/>
    <w:tmpl w:val="4EFB691E"/>
    <w:lvl w:ilvl="0" w:tentative="0">
      <w:start w:val="1"/>
      <w:numFmt w:val="decimal"/>
      <w:suff w:val="nothing"/>
      <w:lvlText w:val="%1、"/>
      <w:lvlJc w:val="left"/>
    </w:lvl>
  </w:abstractNum>
  <w:abstractNum w:abstractNumId="9">
    <w:nsid w:val="66EB74AB"/>
    <w:multiLevelType w:val="singleLevel"/>
    <w:tmpl w:val="66EB74AB"/>
    <w:lvl w:ilvl="0" w:tentative="0">
      <w:start w:val="1"/>
      <w:numFmt w:val="decimal"/>
      <w:suff w:val="nothing"/>
      <w:lvlText w:val="%1、"/>
      <w:lvlJc w:val="left"/>
    </w:lvl>
  </w:abstractNum>
  <w:abstractNum w:abstractNumId="10">
    <w:nsid w:val="6DA56479"/>
    <w:multiLevelType w:val="singleLevel"/>
    <w:tmpl w:val="6DA56479"/>
    <w:lvl w:ilvl="0" w:tentative="0">
      <w:start w:val="1"/>
      <w:numFmt w:val="decimal"/>
      <w:suff w:val="nothing"/>
      <w:lvlText w:val="%1、"/>
      <w:lvlJc w:val="left"/>
    </w:lvl>
  </w:abstractNum>
  <w:abstractNum w:abstractNumId="11">
    <w:nsid w:val="72EC5180"/>
    <w:multiLevelType w:val="singleLevel"/>
    <w:tmpl w:val="72EC5180"/>
    <w:lvl w:ilvl="0" w:tentative="0">
      <w:start w:val="1"/>
      <w:numFmt w:val="decimal"/>
      <w:suff w:val="nothing"/>
      <w:lvlText w:val="%1、"/>
      <w:lvlJc w:val="left"/>
    </w:lvl>
  </w:abstractNum>
  <w:num w:numId="1">
    <w:abstractNumId w:val="6"/>
  </w:num>
  <w:num w:numId="2">
    <w:abstractNumId w:val="9"/>
  </w:num>
  <w:num w:numId="3">
    <w:abstractNumId w:val="0"/>
  </w:num>
  <w:num w:numId="4">
    <w:abstractNumId w:val="1"/>
  </w:num>
  <w:num w:numId="5">
    <w:abstractNumId w:val="2"/>
  </w:num>
  <w:num w:numId="6">
    <w:abstractNumId w:val="11"/>
  </w:num>
  <w:num w:numId="7">
    <w:abstractNumId w:val="5"/>
  </w:num>
  <w:num w:numId="8">
    <w:abstractNumId w:val="8"/>
  </w:num>
  <w:num w:numId="9">
    <w:abstractNumId w:val="10"/>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NkYzFlYjI2M2ZhNTE0NTY2MzUwYTgyMWQ1ZTUwNzAifQ=="/>
  </w:docVars>
  <w:rsids>
    <w:rsidRoot w:val="62CD7F6A"/>
    <w:rsid w:val="00094637"/>
    <w:rsid w:val="001A5CA3"/>
    <w:rsid w:val="001B2688"/>
    <w:rsid w:val="001D355F"/>
    <w:rsid w:val="00226312"/>
    <w:rsid w:val="0024435E"/>
    <w:rsid w:val="0024690F"/>
    <w:rsid w:val="002534CC"/>
    <w:rsid w:val="0026017D"/>
    <w:rsid w:val="00272580"/>
    <w:rsid w:val="00354BCA"/>
    <w:rsid w:val="0042098C"/>
    <w:rsid w:val="00452147"/>
    <w:rsid w:val="0059246B"/>
    <w:rsid w:val="006B7336"/>
    <w:rsid w:val="00712E9B"/>
    <w:rsid w:val="007572BE"/>
    <w:rsid w:val="007810C9"/>
    <w:rsid w:val="007873A3"/>
    <w:rsid w:val="007B160D"/>
    <w:rsid w:val="008D3626"/>
    <w:rsid w:val="00954EE4"/>
    <w:rsid w:val="009550AB"/>
    <w:rsid w:val="00973D07"/>
    <w:rsid w:val="009D02FD"/>
    <w:rsid w:val="009E320F"/>
    <w:rsid w:val="00A60F26"/>
    <w:rsid w:val="00A67031"/>
    <w:rsid w:val="00A84412"/>
    <w:rsid w:val="00A944BF"/>
    <w:rsid w:val="00B276FC"/>
    <w:rsid w:val="00B32116"/>
    <w:rsid w:val="00CA31CA"/>
    <w:rsid w:val="00D32F54"/>
    <w:rsid w:val="00D74B0C"/>
    <w:rsid w:val="00DB362D"/>
    <w:rsid w:val="00DF5A88"/>
    <w:rsid w:val="00E02EAC"/>
    <w:rsid w:val="00E0556E"/>
    <w:rsid w:val="00E23D1D"/>
    <w:rsid w:val="00E3164A"/>
    <w:rsid w:val="00E437F4"/>
    <w:rsid w:val="00E56AAD"/>
    <w:rsid w:val="00F47CA7"/>
    <w:rsid w:val="00F716D1"/>
    <w:rsid w:val="00F84EE4"/>
    <w:rsid w:val="00FB2B00"/>
    <w:rsid w:val="01320622"/>
    <w:rsid w:val="018363FF"/>
    <w:rsid w:val="022B6D53"/>
    <w:rsid w:val="037531DE"/>
    <w:rsid w:val="067B09CA"/>
    <w:rsid w:val="075113C0"/>
    <w:rsid w:val="09107933"/>
    <w:rsid w:val="0A2471A3"/>
    <w:rsid w:val="0AC901C8"/>
    <w:rsid w:val="0B662A97"/>
    <w:rsid w:val="0C93533F"/>
    <w:rsid w:val="0E262BF0"/>
    <w:rsid w:val="0EF035C5"/>
    <w:rsid w:val="10C355EC"/>
    <w:rsid w:val="10E40C72"/>
    <w:rsid w:val="11344025"/>
    <w:rsid w:val="11C552A9"/>
    <w:rsid w:val="11DA6F79"/>
    <w:rsid w:val="133D20F4"/>
    <w:rsid w:val="13653FFE"/>
    <w:rsid w:val="14A475BF"/>
    <w:rsid w:val="14BC568B"/>
    <w:rsid w:val="15886FA6"/>
    <w:rsid w:val="178A4884"/>
    <w:rsid w:val="17A2190D"/>
    <w:rsid w:val="180C67BE"/>
    <w:rsid w:val="1883310A"/>
    <w:rsid w:val="189B6488"/>
    <w:rsid w:val="1A1C6DB9"/>
    <w:rsid w:val="1B642FD2"/>
    <w:rsid w:val="1BC434A7"/>
    <w:rsid w:val="1BD143CB"/>
    <w:rsid w:val="1BFD0CF6"/>
    <w:rsid w:val="1C790D99"/>
    <w:rsid w:val="1CFA5FCD"/>
    <w:rsid w:val="1D955D3A"/>
    <w:rsid w:val="1E5A4B7F"/>
    <w:rsid w:val="200F2C8E"/>
    <w:rsid w:val="20F637E4"/>
    <w:rsid w:val="21796C98"/>
    <w:rsid w:val="23A54E8C"/>
    <w:rsid w:val="24A01D67"/>
    <w:rsid w:val="26317F8F"/>
    <w:rsid w:val="26737AFF"/>
    <w:rsid w:val="2834571B"/>
    <w:rsid w:val="288B044A"/>
    <w:rsid w:val="2A9D5D74"/>
    <w:rsid w:val="2C55425B"/>
    <w:rsid w:val="2D1A4ABE"/>
    <w:rsid w:val="2E1E4633"/>
    <w:rsid w:val="2EC30E5D"/>
    <w:rsid w:val="304B2824"/>
    <w:rsid w:val="30716E96"/>
    <w:rsid w:val="32AD7A1A"/>
    <w:rsid w:val="35307A50"/>
    <w:rsid w:val="35D97CAC"/>
    <w:rsid w:val="362B6330"/>
    <w:rsid w:val="38AA1B3D"/>
    <w:rsid w:val="39FC0992"/>
    <w:rsid w:val="3A8C55FA"/>
    <w:rsid w:val="3B165D64"/>
    <w:rsid w:val="3D957225"/>
    <w:rsid w:val="3F6D556C"/>
    <w:rsid w:val="3F8F68F3"/>
    <w:rsid w:val="3FD77A00"/>
    <w:rsid w:val="433025DD"/>
    <w:rsid w:val="438B3F7A"/>
    <w:rsid w:val="444E0151"/>
    <w:rsid w:val="460D00B3"/>
    <w:rsid w:val="47987D15"/>
    <w:rsid w:val="481438AF"/>
    <w:rsid w:val="481728B6"/>
    <w:rsid w:val="48751CB9"/>
    <w:rsid w:val="49630C75"/>
    <w:rsid w:val="497955D6"/>
    <w:rsid w:val="4A1672C9"/>
    <w:rsid w:val="4B336A76"/>
    <w:rsid w:val="4B612460"/>
    <w:rsid w:val="4BB743A0"/>
    <w:rsid w:val="4E45552B"/>
    <w:rsid w:val="4FDB5952"/>
    <w:rsid w:val="55AB4418"/>
    <w:rsid w:val="560B4101"/>
    <w:rsid w:val="56C1236A"/>
    <w:rsid w:val="57C759A4"/>
    <w:rsid w:val="5A4F5368"/>
    <w:rsid w:val="5AA378D1"/>
    <w:rsid w:val="5B17238E"/>
    <w:rsid w:val="5BA83C67"/>
    <w:rsid w:val="5C6F056E"/>
    <w:rsid w:val="5CEC7DC9"/>
    <w:rsid w:val="5D2B0EE2"/>
    <w:rsid w:val="5E341674"/>
    <w:rsid w:val="5E3B2A02"/>
    <w:rsid w:val="5EDD7710"/>
    <w:rsid w:val="6085265B"/>
    <w:rsid w:val="60CB7A26"/>
    <w:rsid w:val="60D60C4E"/>
    <w:rsid w:val="61322968"/>
    <w:rsid w:val="6216262F"/>
    <w:rsid w:val="62CD7F6A"/>
    <w:rsid w:val="655B1BDC"/>
    <w:rsid w:val="670578C8"/>
    <w:rsid w:val="67386500"/>
    <w:rsid w:val="67A23E27"/>
    <w:rsid w:val="67C64042"/>
    <w:rsid w:val="68BC5088"/>
    <w:rsid w:val="6A401CA3"/>
    <w:rsid w:val="6A7E25F5"/>
    <w:rsid w:val="6A7E7B35"/>
    <w:rsid w:val="6AE319C7"/>
    <w:rsid w:val="6C026CC5"/>
    <w:rsid w:val="6D675FC1"/>
    <w:rsid w:val="6F750633"/>
    <w:rsid w:val="708B0B8C"/>
    <w:rsid w:val="7124394A"/>
    <w:rsid w:val="719B1CDE"/>
    <w:rsid w:val="7643446D"/>
    <w:rsid w:val="7669007F"/>
    <w:rsid w:val="76B55C9E"/>
    <w:rsid w:val="77214EAA"/>
    <w:rsid w:val="7769462C"/>
    <w:rsid w:val="7BA80D7D"/>
    <w:rsid w:val="7CE316B2"/>
    <w:rsid w:val="7D08543B"/>
    <w:rsid w:val="7EC14D4E"/>
    <w:rsid w:val="7EC22343"/>
    <w:rsid w:val="7ECF746B"/>
    <w:rsid w:val="7F2D4191"/>
    <w:rsid w:val="7FAD6E91"/>
    <w:rsid w:val="7FE94C3B"/>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52429f" focussize="0,0"/>
      <v:stroke color="#969696"/>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styleId="11">
    <w:name w:val="List Paragraph"/>
    <w:basedOn w:val="1"/>
    <w:qFormat/>
    <w:uiPriority w:val="34"/>
    <w:pPr>
      <w:ind w:left="800" w:leftChars="400"/>
    </w:pPr>
  </w:style>
  <w:style w:type="paragraph" w:customStyle="1" w:styleId="12">
    <w:name w:val="正文文本1"/>
    <w:basedOn w:val="1"/>
    <w:qFormat/>
    <w:uiPriority w:val="0"/>
    <w:pPr>
      <w:shd w:val="clear" w:color="auto" w:fill="FFFFFF"/>
      <w:spacing w:after="300" w:line="295" w:lineRule="auto"/>
    </w:pPr>
    <w:rPr>
      <w:rFonts w:ascii="宋体" w:hAnsi="宋体" w:eastAsia="宋体" w:cs="宋体"/>
      <w:sz w:val="22"/>
      <w:szCs w:val="22"/>
      <w:lang w:val="zh-CN" w:bidi="zh-CN"/>
    </w:rPr>
  </w:style>
  <w:style w:type="paragraph" w:customStyle="1" w:styleId="13">
    <w:name w:val="正文文本 (3)"/>
    <w:basedOn w:val="1"/>
    <w:qFormat/>
    <w:uiPriority w:val="0"/>
    <w:pPr>
      <w:shd w:val="clear" w:color="auto" w:fill="FFFFFF"/>
      <w:spacing w:after="270" w:line="257" w:lineRule="auto"/>
    </w:pPr>
    <w:rPr>
      <w:rFonts w:ascii="Times New Roman" w:hAnsi="Times New Roman" w:eastAsia="Times New Roman" w:cs="Times New Roman"/>
      <w:lang w:val="zh-CN" w:bidi="zh-CN"/>
    </w:rPr>
  </w:style>
  <w:style w:type="paragraph" w:customStyle="1" w:styleId="14">
    <w:name w:val="正文文本 (2)"/>
    <w:basedOn w:val="1"/>
    <w:qFormat/>
    <w:uiPriority w:val="0"/>
    <w:pPr>
      <w:shd w:val="clear" w:color="auto" w:fill="FFFFFF"/>
      <w:spacing w:after="280" w:line="271" w:lineRule="auto"/>
    </w:pPr>
    <w:rPr>
      <w:rFonts w:ascii="黑体" w:hAnsi="黑体" w:eastAsia="黑体" w:cs="黑体"/>
      <w:lang w:val="zh-CN" w:bidi="zh-CN"/>
    </w:rPr>
  </w:style>
  <w:style w:type="paragraph" w:customStyle="1" w:styleId="15">
    <w:name w:val="页眉或页脚 (2)"/>
    <w:basedOn w:val="1"/>
    <w:qFormat/>
    <w:uiPriority w:val="0"/>
    <w:pPr>
      <w:shd w:val="clear" w:color="auto" w:fill="FFFFFF"/>
    </w:pPr>
    <w:rPr>
      <w:rFonts w:ascii="Times New Roman" w:hAnsi="Times New Roman" w:eastAsia="Times New Roman" w:cs="Times New Roman"/>
      <w:sz w:val="20"/>
      <w:szCs w:val="20"/>
    </w:rPr>
  </w:style>
  <w:style w:type="character" w:customStyle="1" w:styleId="16">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5"/>
    <customShpInfo spid="_x0000_s2054"/>
    <customShpInfo spid="_x0000_s2050"/>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838E6-A2A9-47B2-A8CA-9A09845962BE}">
  <ds:schemaRefs/>
</ds:datastoreItem>
</file>

<file path=docProps/app.xml><?xml version="1.0" encoding="utf-8"?>
<Properties xmlns="http://schemas.openxmlformats.org/officeDocument/2006/extended-properties" xmlns:vt="http://schemas.openxmlformats.org/officeDocument/2006/docPropsVTypes">
  <Template>Normal</Template>
  <Pages>8</Pages>
  <Words>965</Words>
  <Characters>5505</Characters>
  <Lines>45</Lines>
  <Paragraphs>12</Paragraphs>
  <TotalTime>4</TotalTime>
  <ScaleCrop>false</ScaleCrop>
  <LinksUpToDate>false</LinksUpToDate>
  <CharactersWithSpaces>6458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2023-08-17T03:51:00Z</dcterms:created>
  <dc:creator>QBBY</dc:creator>
  <cp:lastModifiedBy>admin</cp:lastModifiedBy>
  <cp:lastPrinted>2019-09-27T02:20:00Z</cp:lastPrinted>
  <dcterms:modified xsi:type="dcterms:W3CDTF">2023-09-28T01:27:26Z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BDEE29128CC34D67B7071C9C093D38BC</vt:lpwstr>
  </property>
</Properties>
</file>